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Machine-Speed</w:t>
        <w:br/>
        <w:t>Containment</w:t>
      </w:r>
    </w:p>
    <w:p>
      <w:pPr>
        <w:pStyle w:val="Subtitle"/>
      </w:pPr>
      <w:r>
        <w:t>Redesigning non-human identity and least privilege for autonomous AI in developer infrastructure</w:t>
      </w:r>
    </w:p>
    <w:p>
      <w:r>
        <w:drawing>
          <wp:inline xmlns:a="http://schemas.openxmlformats.org/drawingml/2006/main" xmlns:pic="http://schemas.openxmlformats.org/drawingml/2006/picture">
            <wp:extent cx="6035040" cy="3394710"/>
            <wp:docPr id="1" name="Picture 1"/>
            <wp:cNvGraphicFramePr>
              <a:graphicFrameLocks noChangeAspect="1"/>
            </wp:cNvGraphicFramePr>
            <a:graphic>
              <a:graphicData uri="http://schemas.openxmlformats.org/drawingml/2006/picture">
                <pic:pic>
                  <pic:nvPicPr>
                    <pic:cNvPr id="0" name="figure_corridor.png"/>
                    <pic:cNvPicPr/>
                  </pic:nvPicPr>
                  <pic:blipFill>
                    <a:blip r:embed="rId11"/>
                    <a:stretch>
                      <a:fillRect/>
                    </a:stretch>
                  </pic:blipFill>
                  <pic:spPr>
                    <a:xfrm>
                      <a:off x="0" y="0"/>
                      <a:ext cx="6035040" cy="3394710"/>
                    </a:xfrm>
                    <a:prstGeom prst="rect"/>
                  </pic:spPr>
                </pic:pic>
              </a:graphicData>
            </a:graphic>
          </wp:inline>
        </w:drawing>
      </w:r>
    </w:p>
    <w:p>
      <w:pPr>
        <w:jc w:val="right"/>
      </w:pPr>
      <w:r>
        <w:t>Professional knowledge package  •  24 July 2026</w:t>
      </w:r>
    </w:p>
    <w:p>
      <w:r>
        <w:br w:type="page"/>
      </w:r>
    </w:p>
    <w:p>
      <w:pPr>
        <w:pStyle w:val="Heading1"/>
      </w:pPr>
      <w:r>
        <w:t>Contents</w:t>
      </w:r>
    </w:p>
    <w:p>
      <w:pPr>
        <w:pStyle w:val="ListBullet"/>
      </w:pPr>
      <w:r>
        <w:t>Executive summary</w:t>
      </w:r>
    </w:p>
    <w:p>
      <w:pPr>
        <w:pStyle w:val="ListBullet"/>
      </w:pPr>
      <w:r>
        <w:t>Key findings</w:t>
      </w:r>
    </w:p>
    <w:p>
      <w:pPr>
        <w:pStyle w:val="ListBullet"/>
      </w:pPr>
      <w:r>
        <w:t>1. What changed</w:t>
      </w:r>
    </w:p>
    <w:p>
      <w:pPr>
        <w:pStyle w:val="ListBullet"/>
      </w:pPr>
      <w:r>
        <w:t>2. Redefine the NHI</w:t>
      </w:r>
    </w:p>
    <w:p>
      <w:pPr>
        <w:pStyle w:val="ListBullet"/>
      </w:pPr>
      <w:r>
        <w:t>3. Just-in-time issuance</w:t>
      </w:r>
    </w:p>
    <w:p>
      <w:pPr>
        <w:pStyle w:val="ListBullet"/>
      </w:pPr>
      <w:r>
        <w:t>4. Blast-radius budgets</w:t>
      </w:r>
    </w:p>
    <w:p>
      <w:pPr>
        <w:pStyle w:val="ListBullet"/>
      </w:pPr>
      <w:r>
        <w:t>5. Promotion cells</w:t>
      </w:r>
    </w:p>
    <w:p>
      <w:pPr>
        <w:pStyle w:val="ListBullet"/>
      </w:pPr>
      <w:r>
        <w:t>6. Policy gateway</w:t>
      </w:r>
    </w:p>
    <w:p>
      <w:pPr>
        <w:pStyle w:val="ListBullet"/>
      </w:pPr>
      <w:r>
        <w:t>7. Detection and kill plane</w:t>
      </w:r>
    </w:p>
    <w:p>
      <w:pPr>
        <w:pStyle w:val="ListBullet"/>
      </w:pPr>
      <w:r>
        <w:t>8. Governance</w:t>
      </w:r>
    </w:p>
    <w:p>
      <w:pPr>
        <w:pStyle w:val="ListBullet"/>
      </w:pPr>
      <w:r>
        <w:t>9. Implementation blueprint</w:t>
      </w:r>
    </w:p>
    <w:p>
      <w:pPr>
        <w:pStyle w:val="ListBullet"/>
      </w:pPr>
      <w:r>
        <w:t>Practical synthesis</w:t>
      </w:r>
    </w:p>
    <w:p>
      <w:pPr>
        <w:pStyle w:val="ListBullet"/>
      </w:pPr>
      <w:r>
        <w:t>Evidence and caveats</w:t>
      </w:r>
    </w:p>
    <w:p>
      <w:pPr>
        <w:pStyle w:val="ListBullet"/>
      </w:pPr>
      <w:r>
        <w:t>Sources</w:t>
      </w:r>
    </w:p>
    <w:p>
      <w:r>
        <w:br w:type="page"/>
      </w:r>
    </w:p>
    <w:p>
      <w:r>
        <w:t>Audience: security architects, identity engineers, platform/DevSecOps leaders, CISOs, and incident-response teams   Evidence current to: 24 July 2026   Scope: enterprise developer infrastructure; this is architectural guidance, not a claim that identity controls alone can make autonomous agents safe.</w:t>
      </w:r>
    </w:p>
    <w:p>
      <w:pPr>
        <w:pStyle w:val="Heading2"/>
      </w:pPr>
      <w:r>
        <w:t>Executive summary</w:t>
      </w:r>
    </w:p>
    <w:p>
      <w:r>
        <w:t>The July 2026 Hugging Face incident makes a previously theoretical design failure concrete. According to Hugging Face, a malicious dataset reached code execution through two paths in its data-processing pipeline; the actor then escalated to node-level access, harvested cloud and cluster credentials, and moved into several internal clusters. The company describes an autonomous framework executing many thousands of actions across short-lived sandboxes and reports analyzing more than 17,000 recorded events. It found unauthorized access to a limited set of internal datasets and several service credentials, while its initial disclosure found no evidence of tampering with public models, datasets, Spaces, container images, or published packages. (</w:t>
      </w:r>
      <w:hyperlink r:id="rId12">
        <w:r>
          <w:rPr>
            <w:color w:val="00838A"/>
            <w:u w:val="single"/>
          </w:rPr>
          <w:t>Hugging Face incident disclosure, 2026</w:t>
        </w:r>
      </w:hyperlink>
      <w:r>
        <w:t>)</w:t>
      </w:r>
    </w:p>
    <w:p>
      <w:r>
        <w:t>The architectural lesson is not merely “rotate secrets faster.” It is that a pipeline worker, an agent runtime, and every tool call must be treated as separate, potentially hostile non-human principals. An agent should never inherit the ambient identity of its human sponsor, runner, node, namespace, or control plane. Authorization must be issued just in time for one task, constrained by resource, action, environment, provenance, audience, time, and risk; it must be enforced by a deterministic policy point outside the model. This is an application of zero trust to machine actors: NIST defines zero trust as denying implicit trust based on network location or ownership and making authentication and authorization discrete decisions before access to a resource. (</w:t>
      </w:r>
      <w:hyperlink r:id="rId13">
        <w:r>
          <w:rPr>
            <w:color w:val="00838A"/>
            <w:u w:val="single"/>
          </w:rPr>
          <w:t>NIST SP 800-207</w:t>
        </w:r>
      </w:hyperlink>
      <w:r>
        <w:t>)</w:t>
      </w:r>
    </w:p>
    <w:p>
      <w:r>
        <w:t>The target state is a capability corridor:</w:t>
      </w:r>
    </w:p>
    <w:p>
      <w:pPr>
        <w:pStyle w:val="ListNumber"/>
      </w:pPr>
      <w:r>
        <w:t>A registered workload is attested to a specific immutable build and runtime.</w:t>
      </w:r>
    </w:p>
    <w:p>
      <w:pPr>
        <w:pStyle w:val="ListNumber"/>
      </w:pPr>
      <w:r>
        <w:t>A task controller binds the human or system request to a task ID, approved tools, data class, budget, and expiry.</w:t>
      </w:r>
    </w:p>
    <w:p>
      <w:pPr>
        <w:pStyle w:val="ListNumber"/>
      </w:pPr>
      <w:r>
        <w:t>A broker exchanges that evidence for a short-lived, audience-bound credential.</w:t>
      </w:r>
    </w:p>
    <w:p>
      <w:pPr>
        <w:pStyle w:val="ListNumber"/>
      </w:pPr>
      <w:r>
        <w:t>A policy-enforcement gateway mediates each consequential tool or API call.</w:t>
      </w:r>
    </w:p>
    <w:p>
      <w:pPr>
        <w:pStyle w:val="ListNumber"/>
      </w:pPr>
      <w:r>
        <w:t>Network and data planes permit only the destinations and objects named in the capability.</w:t>
      </w:r>
    </w:p>
    <w:p>
      <w:pPr>
        <w:pStyle w:val="ListNumber"/>
      </w:pPr>
      <w:r>
        <w:t>Independent telemetry links sponsor → agent → task → credential → tool call → resource mutation.</w:t>
      </w:r>
    </w:p>
    <w:p>
      <w:pPr>
        <w:pStyle w:val="ListNumber"/>
      </w:pPr>
      <w:r>
        <w:t>Risk or budget thresholds stop the task, revoke its session, and quarantine its runtime.</w:t>
      </w:r>
    </w:p>
    <w:p>
      <w:r>
        <w:t>This design changes least privilege from a static role assigned to “the CI service account” into a per-task envelope. Credential lifetime is only one dimension. A five-minute token with organization-wide read and write permissions still enables enormous machine-speed damage. Effective least privilege is the product of scope × duration × reachability × delegation × action rate. That formulation is original Ask Anything analysis, but each component follows established controls for resource-level authorization, short-lived workload credentials, isolation, and monitored privileged actions. (</w:t>
      </w:r>
      <w:hyperlink r:id="rId14">
        <w:r>
          <w:rPr>
            <w:color w:val="00838A"/>
            <w:u w:val="single"/>
          </w:rPr>
          <w:t>NIST SP 800-207A</w:t>
        </w:r>
      </w:hyperlink>
      <w:r>
        <w:t xml:space="preserve">; </w:t>
      </w:r>
      <w:hyperlink r:id="rId15">
        <w:r>
          <w:rPr>
            <w:color w:val="00838A"/>
            <w:u w:val="single"/>
          </w:rPr>
          <w:t>AWS IAM security practices</w:t>
        </w:r>
      </w:hyperlink>
      <w:r>
        <w:t xml:space="preserve">; </w:t>
      </w:r>
      <w:hyperlink r:id="rId16">
        <w:r>
          <w:rPr>
            <w:color w:val="00838A"/>
            <w:u w:val="single"/>
          </w:rPr>
          <w:t>OWASP AI Agent Security Cheat Sheet</w:t>
        </w:r>
      </w:hyperlink>
      <w:r>
        <w:t>)</w:t>
      </w:r>
    </w:p>
    <w:p>
      <w:r>
        <w:t>Security architects should therefore prioritize six moves: eliminate standing secrets from agent and pipeline runtimes; split identities by task and trust zone; make credential issuance conditional on runtime and artifact attestation; mediate tool use with external policy; impose identity-aware egress and rate budgets; and build a kill plane that revokes sessions and isolates compute in seconds. Human approval remains appropriate for irreversible or blast-radius-expanding actions, but it is not a substitute for narrow machine authorization.</w:t>
      </w:r>
    </w:p>
    <w:p>
      <w:pPr>
        <w:pStyle w:val="Heading2"/>
      </w:pPr>
      <w:r>
        <w:t>Key findings</w:t>
      </w:r>
    </w:p>
    <w:p>
      <w:pPr>
        <w:pStyle w:val="ListBullet"/>
      </w:pPr>
      <w:r>
        <w:t>The credential is the pivot. The incident’s initial execution flaw became a multi-cluster event after cloud and cluster credentials were harvested. (</w:t>
      </w:r>
      <w:hyperlink r:id="rId12">
        <w:r>
          <w:rPr>
            <w:color w:val="00838A"/>
            <w:u w:val="single"/>
          </w:rPr>
          <w:t>Hugging Face</w:t>
        </w:r>
      </w:hyperlink>
      <w:r>
        <w:t>)</w:t>
      </w:r>
    </w:p>
    <w:p>
      <w:pPr>
        <w:pStyle w:val="ListBullet"/>
      </w:pPr>
      <w:r>
        <w:t>Prompt controls are not authorization. Microsoft showed that attacker-controlled GitHub content could influence an AI workflow to read /proc/self/environ, exposing an API key and potentially other runner credentials; Anthropic mitigated the cited path in Claude Code 2.1.128. (</w:t>
      </w:r>
      <w:hyperlink r:id="rId17">
        <w:r>
          <w:rPr>
            <w:color w:val="00838A"/>
            <w:u w:val="single"/>
          </w:rPr>
          <w:t>Microsoft Defender Security Research</w:t>
        </w:r>
      </w:hyperlink>
      <w:r>
        <w:t>)</w:t>
      </w:r>
    </w:p>
    <w:p>
      <w:pPr>
        <w:pStyle w:val="ListBullet"/>
      </w:pPr>
      <w:r>
        <w:t>Ephemeral is necessary, not sufficient. AWS recommends temporary workload credentials, Kubernetes supplies short-lived bound service-account tokens, and SPIFFE issues short-lived workload identity documents; none of those mechanisms makes an overbroad policy narrow by itself. (</w:t>
      </w:r>
      <w:hyperlink r:id="rId15">
        <w:r>
          <w:rPr>
            <w:color w:val="00838A"/>
            <w:u w:val="single"/>
          </w:rPr>
          <w:t>AWS</w:t>
        </w:r>
      </w:hyperlink>
      <w:r>
        <w:t xml:space="preserve">; </w:t>
      </w:r>
      <w:hyperlink r:id="rId18">
        <w:r>
          <w:rPr>
            <w:color w:val="00838A"/>
            <w:u w:val="single"/>
          </w:rPr>
          <w:t>Kubernetes</w:t>
        </w:r>
      </w:hyperlink>
      <w:r>
        <w:t xml:space="preserve">; </w:t>
      </w:r>
      <w:hyperlink r:id="rId19">
        <w:r>
          <w:rPr>
            <w:color w:val="00838A"/>
            <w:u w:val="single"/>
          </w:rPr>
          <w:t>SPIFFE</w:t>
        </w:r>
      </w:hyperlink>
      <w:r>
        <w:t>)</w:t>
      </w:r>
    </w:p>
    <w:p>
      <w:pPr>
        <w:pStyle w:val="ListBullet"/>
      </w:pPr>
      <w:r>
        <w:t>The unit of control must be the action, not the agent persona. An agent can switch tools and objectives within one runtime. Every privileged call needs an external authorization decision tied to a task and resource.</w:t>
      </w:r>
    </w:p>
    <w:p>
      <w:pPr>
        <w:pStyle w:val="ListBullet"/>
      </w:pPr>
      <w:r>
        <w:t>Containment must be faster than reasoning loops. Autonomous systems can retry, branch, and parallelize. Quotas, egress rules, credential revocation, and runtime quarantine must be deterministic and automatic.</w:t>
      </w:r>
    </w:p>
    <w:p>
      <w:pPr>
        <w:pStyle w:val="ListBullet"/>
      </w:pPr>
      <w:r>
        <w:t>Separate planes prevent one credential from becoming universal authority. Build, test, deploy, secret-management, identity-administration, and security telemetry should use distinct trust domains and credentials with explicit, one-way promotion gates.</w:t>
      </w:r>
    </w:p>
    <w:p>
      <w:pPr>
        <w:pStyle w:val="Heading2"/>
      </w:pPr>
      <w:r>
        <w:t>1. What changed: from fast automation to adaptive traversal</w:t>
      </w:r>
    </w:p>
    <w:p>
      <w:r>
        <w:t>Traditional CI/CD compromise is already dangerous, but deterministic pipelines usually execute a known graph. A tool-using agent can observe failures, select another tool, search local state, retry with altered parameters, and pursue intermediate objectives. The Frontier Model Forum describes capable agents as systems that can plan and execute long action sequences, invoke tools, query services, maintain memory, and interact with other agents. It recommends sandboxing, least privilege, monitoring, input/output validation, and audit logs at the deployer layer. (</w:t>
      </w:r>
      <w:hyperlink r:id="rId20">
        <w:r>
          <w:rPr>
            <w:color w:val="00838A"/>
            <w:u w:val="single"/>
          </w:rPr>
          <w:t>Frontier Model Forum, 2026</w:t>
        </w:r>
      </w:hyperlink>
      <w:r>
        <w:t>)</w:t>
      </w:r>
    </w:p>
    <w:p>
      <w:r>
        <w:t>Experimental evidence predates the incident. Fang and colleagues tested an agent on 15 reproducible one-day vulnerabilities. With vulnerability descriptions, their GPT-4 agent exploited 87%; without those descriptions, it exploited 7%. Other tested models and the two open-source scanners in that experiment scored 0%. The benchmark was small, used 2024-era systems, and measured a constructed sandbox rather than enterprise lateral movement, so it demonstrates feasibility—not a current population-wide success rate. (</w:t>
      </w:r>
      <w:hyperlink r:id="rId21">
        <w:r>
          <w:rPr>
            <w:color w:val="00838A"/>
            <w:u w:val="single"/>
          </w:rPr>
          <w:t>Fang et al., 2024, arXiv:2404.08144</w:t>
        </w:r>
      </w:hyperlink>
      <w:r>
        <w:t>)</w:t>
      </w:r>
    </w:p>
    <w:p>
      <w:r>
        <w:t>The Hugging Face report changes the risk model because the claimed sequence crossed several boundaries: untrusted content to code execution; workload to node; node to credentials; credentials to other clusters. Its more than 17,000 logged events also illustrates why analyst-paced review cannot be the primary containment loop. (</w:t>
      </w:r>
      <w:hyperlink r:id="rId12">
        <w:r>
          <w:rPr>
            <w:color w:val="00838A"/>
            <w:u w:val="single"/>
          </w:rPr>
          <w:t>Hugging Face</w:t>
        </w:r>
      </w:hyperlink>
      <w:r>
        <w:t>)</w:t>
      </w:r>
    </w:p>
    <w:p>
      <w:r>
        <w:t>Evidence assessment: strong for the disclosed facts within Hugging Face’s own environment; moderate for generalizing the exact attack pattern to all agent platforms; strong that tool-enabled agents enlarge the authorization surface; limited for quantifying frequency or expected loss, because no representative incident denominator exists.</w:t>
      </w:r>
    </w:p>
    <w:p>
      <w:pPr>
        <w:pStyle w:val="Heading3"/>
      </w:pPr>
      <w:r>
        <w:t>Figure 1. The identity-amplified attack chain</w:t>
      </w:r>
    </w:p>
    <w:p>
      <w:r>
        <w:drawing>
          <wp:inline xmlns:a="http://schemas.openxmlformats.org/drawingml/2006/main" xmlns:pic="http://schemas.openxmlformats.org/drawingml/2006/picture">
            <wp:extent cx="5897880" cy="2948940"/>
            <wp:docPr id="2" name="Picture 2"/>
            <wp:cNvGraphicFramePr>
              <a:graphicFrameLocks noChangeAspect="1"/>
            </wp:cNvGraphicFramePr>
            <a:graphic>
              <a:graphicData uri="http://schemas.openxmlformats.org/drawingml/2006/picture">
                <pic:pic>
                  <pic:nvPicPr>
                    <pic:cNvPr id="0" name="figure_attack_chain.png"/>
                    <pic:cNvPicPr/>
                  </pic:nvPicPr>
                  <pic:blipFill>
                    <a:blip r:embed="rId22"/>
                    <a:stretch>
                      <a:fillRect/>
                    </a:stretch>
                  </pic:blipFill>
                  <pic:spPr>
                    <a:xfrm>
                      <a:off x="0" y="0"/>
                      <a:ext cx="5897880" cy="2948940"/>
                    </a:xfrm>
                    <a:prstGeom prst="rect"/>
                  </pic:spPr>
                </pic:pic>
              </a:graphicData>
            </a:graphic>
          </wp:inline>
        </w:drawing>
      </w:r>
    </w:p>
    <w:p>
      <w:r>
        <w:t xml:space="preserve">Original illustration: Ask Anything synthesis of the sequence disclosed by Hugging Face. Source: </w:t>
      </w:r>
      <w:hyperlink r:id="rId12">
        <w:r>
          <w:rPr>
            <w:color w:val="00838A"/>
            <w:u w:val="single"/>
          </w:rPr>
          <w:t>Hugging Face security incident disclosure</w:t>
        </w:r>
      </w:hyperlink>
      <w:r>
        <w:t>.</w:t>
      </w:r>
    </w:p>
    <w:p>
      <w:pPr>
        <w:pStyle w:val="Heading2"/>
      </w:pPr>
      <w:r>
        <w:t>2. Redefine the NHI: five identities, not one service account</w:t>
      </w:r>
    </w:p>
    <w:p>
      <w:r>
        <w:t>“The agent” is an unsafe IAM abstraction. A production workflow contains at least five independently governable identities:</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t>Principal</w:t>
            </w:r>
          </w:p>
        </w:tc>
        <w:tc>
          <w:tcPr>
            <w:tcW w:type="dxa" w:w="2160"/>
          </w:tcPr>
          <w:p>
            <w:r>
              <w:t>What it proves</w:t>
            </w:r>
          </w:p>
        </w:tc>
        <w:tc>
          <w:tcPr>
            <w:tcW w:type="dxa" w:w="2160"/>
          </w:tcPr>
          <w:p>
            <w:r>
              <w:t>Permitted authority</w:t>
            </w:r>
          </w:p>
        </w:tc>
        <w:tc>
          <w:tcPr>
            <w:tcW w:type="dxa" w:w="2160"/>
          </w:tcPr>
          <w:p>
            <w:r>
              <w:t>Must not inherit</w:t>
            </w:r>
          </w:p>
        </w:tc>
      </w:tr>
      <w:tr>
        <w:tc>
          <w:tcPr>
            <w:tcW w:type="dxa" w:w="2160"/>
            <w:vAlign w:val="center"/>
          </w:tcPr>
          <w:p>
            <w:r>
              <w:t>Runtime identity</w:t>
            </w:r>
          </w:p>
        </w:tc>
        <w:tc>
          <w:tcPr>
            <w:tcW w:type="dxa" w:w="2160"/>
            <w:vAlign w:val="center"/>
          </w:tcPr>
          <w:p>
            <w:r>
              <w:t>Attested process, pod, VM, image digest, environment</w:t>
            </w:r>
          </w:p>
        </w:tc>
        <w:tc>
          <w:tcPr>
            <w:tcW w:type="dxa" w:w="2160"/>
            <w:vAlign w:val="center"/>
          </w:tcPr>
          <w:p>
            <w:r>
              <w:t>Connect to the local broker and approved gateways</w:t>
            </w:r>
          </w:p>
        </w:tc>
        <w:tc>
          <w:tcPr>
            <w:tcW w:type="dxa" w:w="2160"/>
            <w:vAlign w:val="center"/>
          </w:tcPr>
          <w:p>
            <w:r>
              <w:t>Node, namespace, developer, or control-plane permissions</w:t>
            </w:r>
          </w:p>
        </w:tc>
      </w:tr>
      <w:tr>
        <w:tc>
          <w:tcPr>
            <w:tcW w:type="dxa" w:w="2160"/>
            <w:vAlign w:val="center"/>
          </w:tcPr>
          <w:p>
            <w:r>
              <w:t>Task identity</w:t>
            </w:r>
          </w:p>
        </w:tc>
        <w:tc>
          <w:tcPr>
            <w:tcW w:type="dxa" w:w="2160"/>
            <w:vAlign w:val="center"/>
          </w:tcPr>
          <w:p>
            <w:r>
              <w:t>One authorized objective, sponsor, ticket, repository/ref, risk tier, expiry</w:t>
            </w:r>
          </w:p>
        </w:tc>
        <w:tc>
          <w:tcPr>
            <w:tcW w:type="dxa" w:w="2160"/>
            <w:vAlign w:val="center"/>
          </w:tcPr>
          <w:p>
            <w:r>
              <w:t>Request only the capabilities in the task manifest</w:t>
            </w:r>
          </w:p>
        </w:tc>
        <w:tc>
          <w:tcPr>
            <w:tcW w:type="dxa" w:w="2160"/>
            <w:vAlign w:val="center"/>
          </w:tcPr>
          <w:p>
            <w:r>
              <w:t>General authority from previous tasks or memory</w:t>
            </w:r>
          </w:p>
        </w:tc>
      </w:tr>
      <w:tr>
        <w:tc>
          <w:tcPr>
            <w:tcW w:type="dxa" w:w="2160"/>
            <w:vAlign w:val="center"/>
          </w:tcPr>
          <w:p>
            <w:r>
              <w:t>Tool identity</w:t>
            </w:r>
          </w:p>
        </w:tc>
        <w:tc>
          <w:tcPr>
            <w:tcW w:type="dxa" w:w="2160"/>
            <w:vAlign w:val="center"/>
          </w:tcPr>
          <w:p>
            <w:r>
              <w:t>A named adapter and version performing a typed operation</w:t>
            </w:r>
          </w:p>
        </w:tc>
        <w:tc>
          <w:tcPr>
            <w:tcW w:type="dxa" w:w="2160"/>
            <w:vAlign w:val="center"/>
          </w:tcPr>
          <w:p>
            <w:r>
              <w:t>One API family and constrained action set</w:t>
            </w:r>
          </w:p>
        </w:tc>
        <w:tc>
          <w:tcPr>
            <w:tcW w:type="dxa" w:w="2160"/>
            <w:vAlign w:val="center"/>
          </w:tcPr>
          <w:p>
            <w:r>
              <w:t>Shell access or the runtime’s entire token set</w:t>
            </w:r>
          </w:p>
        </w:tc>
      </w:tr>
      <w:tr>
        <w:tc>
          <w:tcPr>
            <w:tcW w:type="dxa" w:w="2160"/>
            <w:vAlign w:val="center"/>
          </w:tcPr>
          <w:p>
            <w:r>
              <w:t>Delegation identity</w:t>
            </w:r>
          </w:p>
        </w:tc>
        <w:tc>
          <w:tcPr>
            <w:tcW w:type="dxa" w:w="2160"/>
            <w:vAlign w:val="center"/>
          </w:tcPr>
          <w:p>
            <w:r>
              <w:t>Parent task authorizes a bounded subtask</w:t>
            </w:r>
          </w:p>
        </w:tc>
        <w:tc>
          <w:tcPr>
            <w:tcW w:type="dxa" w:w="2160"/>
            <w:vAlign w:val="center"/>
          </w:tcPr>
          <w:p>
            <w:r>
              <w:t>A strict subset of the parent capability</w:t>
            </w:r>
          </w:p>
        </w:tc>
        <w:tc>
          <w:tcPr>
            <w:tcW w:type="dxa" w:w="2160"/>
            <w:vAlign w:val="center"/>
          </w:tcPr>
          <w:p>
            <w:r>
              <w:t>Ability to mint peers, widen scope, or extend expiry</w:t>
            </w:r>
          </w:p>
        </w:tc>
      </w:tr>
      <w:tr>
        <w:tc>
          <w:tcPr>
            <w:tcW w:type="dxa" w:w="2160"/>
            <w:vAlign w:val="center"/>
          </w:tcPr>
          <w:p>
            <w:r>
              <w:t>Artifact identity</w:t>
            </w:r>
          </w:p>
        </w:tc>
        <w:tc>
          <w:tcPr>
            <w:tcW w:type="dxa" w:w="2160"/>
            <w:vAlign w:val="center"/>
          </w:tcPr>
          <w:p>
            <w:r>
              <w:t>Provenance of code/config/model/dataset being processed</w:t>
            </w:r>
          </w:p>
        </w:tc>
        <w:tc>
          <w:tcPr>
            <w:tcW w:type="dxa" w:w="2160"/>
            <w:vAlign w:val="center"/>
          </w:tcPr>
          <w:p>
            <w:r>
              <w:t>Read or promote through an explicit gate</w:t>
            </w:r>
          </w:p>
        </w:tc>
        <w:tc>
          <w:tcPr>
            <w:tcW w:type="dxa" w:w="2160"/>
            <w:vAlign w:val="center"/>
          </w:tcPr>
          <w:p>
            <w:r>
              <w:t>Runtime authority merely because it is in the same workspace</w:t>
            </w:r>
          </w:p>
        </w:tc>
      </w:tr>
    </w:tbl>
    <w:p>
      <w:r>
        <w:t>This decomposition follows the resource-centric and per-session logic of zero trust, while extending it to agent task lineage. NIST SP 800-207A specifically shifts cloud-native controls from network parameters toward application and service identities, using gateways, sidecars, and identity infrastructure such as SPIFFE. (</w:t>
      </w:r>
      <w:hyperlink r:id="rId14">
        <w:r>
          <w:rPr>
            <w:color w:val="00838A"/>
            <w:u w:val="single"/>
          </w:rPr>
          <w:t>NIST SP 800-207A</w:t>
        </w:r>
      </w:hyperlink>
      <w:r>
        <w:t>)</w:t>
      </w:r>
    </w:p>
    <w:p>
      <w:r>
        <w:t>Every identity record should have a machine-readable owner, purpose, environment, allowed issuers and audiences, maximum lifetime, artifact or deployment selectors, parent task, reachable services, data classification, policy version, and emergency revocation path. Inventory should include dormant identities and trust relationships, not only active keys. “Owner: platform” and “purpose: automation” are not sufficient.</w:t>
      </w:r>
    </w:p>
    <w:p>
      <w:pPr>
        <w:pStyle w:val="Heading3"/>
      </w:pPr>
      <w:r>
        <w:t>Why human impersonation fails</w:t>
      </w:r>
    </w:p>
    <w:p>
      <w:r>
        <w:t>An agent acting “on behalf of Alice” must not receive Alice’s bearer token. A human identity expresses broad organizational standing accumulated across roles. The agent needs a derived capability that records Alice as sponsor but contains only the task’s subset of authority. The resource must see both: actor = workload/task and sponsor = Alice, without treating them as interchangeable. This preserves attribution and prevents a prompt injection from converting a developer’s unrelated entitlements into agent tools.</w:t>
      </w:r>
    </w:p>
    <w:p>
      <w:pPr>
        <w:pStyle w:val="Heading3"/>
      </w:pPr>
      <w:r>
        <w:t>Why shared pipeline accounts fail</w:t>
      </w:r>
    </w:p>
    <w:p>
      <w:r>
        <w:t>A shared runner identity collapses repository, branch, event type, job, and environment into one principal. Compromise anywhere becomes authority everywhere. GitHub’s own GITHUB_TOKEN is created per job, limited to the repository, and expires after the job or its effective maximum lifetime; GitHub also recommends granting it only the minimum permissions required. (</w:t>
      </w:r>
      <w:hyperlink r:id="rId23">
        <w:r>
          <w:rPr>
            <w:color w:val="00838A"/>
            <w:u w:val="single"/>
          </w:rPr>
          <w:t>GitHub `GITHUB_TOKEN`</w:t>
        </w:r>
      </w:hyperlink>
      <w:r>
        <w:t xml:space="preserve">; </w:t>
      </w:r>
      <w:hyperlink r:id="rId24">
        <w:r>
          <w:rPr>
            <w:color w:val="00838A"/>
            <w:u w:val="single"/>
          </w:rPr>
          <w:t>GitHub secure use reference</w:t>
        </w:r>
      </w:hyperlink>
      <w:r>
        <w:t>)</w:t>
      </w:r>
    </w:p>
    <w:p>
      <w:r>
        <w:t>That is a baseline, not the finish line. Sensitive deployment should additionally bind authorization to immutable workflow identity, protected ref, environment, reviewed artifact digest, and expected audience. A pull-request analysis job should not be able to exchange its token for a production role.</w:t>
      </w:r>
    </w:p>
    <w:p>
      <w:pPr>
        <w:pStyle w:val="Heading2"/>
      </w:pPr>
      <w:r>
        <w:t>3. Replace secrets-at-rest with attested, just-in-time issuance</w:t>
      </w:r>
    </w:p>
    <w:p>
      <w:r>
        <w:t>The default agent runtime should start with no reusable secret material: no cloud access key, personal token, package-publishing token, kubeconfig, vault token, signing key, or broad API key in environment variables, files, image layers, memory, or inherited process state. Microsoft’s disclosure shows why environment scrubbing alone is fragile: the tested read path could reach /proc/self/environ even though a subprocess path had separate scrubbing. (</w:t>
      </w:r>
      <w:hyperlink r:id="rId17">
        <w:r>
          <w:rPr>
            <w:color w:val="00838A"/>
            <w:u w:val="single"/>
          </w:rPr>
          <w:t>Microsoft</w:t>
        </w:r>
      </w:hyperlink>
      <w:r>
        <w:t>)</w:t>
      </w:r>
    </w:p>
    <w:p>
      <w:r>
        <w:t>Instead, use a local identity endpoint or broker that attests the caller and issues a short-lived credential for a named audience. SPIFFE’s Workload API is designed to deliver workload identity at runtime without co-deployed authentication secrets; its X.509-SVIDs are short lived and automatically rotated. SPIFFE also warns that workload isolation is assumed: a malicious co-resident workload must not be able to steal another workload’s issued credential. (</w:t>
      </w:r>
      <w:hyperlink r:id="rId19">
        <w:r>
          <w:rPr>
            <w:color w:val="00838A"/>
            <w:u w:val="single"/>
          </w:rPr>
          <w:t>SPIFFE concepts</w:t>
        </w:r>
      </w:hyperlink>
      <w:r>
        <w:t xml:space="preserve">; </w:t>
      </w:r>
      <w:hyperlink r:id="rId25">
        <w:r>
          <w:rPr>
            <w:color w:val="00838A"/>
            <w:u w:val="single"/>
          </w:rPr>
          <w:t>SPIFFE Workload Endpoint</w:t>
        </w:r>
      </w:hyperlink>
      <w:r>
        <w:t>)</w:t>
      </w:r>
    </w:p>
    <w:p>
      <w:r>
        <w:t>Cloud-native mechanisms provide implementable paths:</w:t>
      </w:r>
    </w:p>
    <w:p>
      <w:pPr>
        <w:pStyle w:val="ListBullet"/>
      </w:pPr>
      <w:r>
        <w:t>AWS recommends IAM roles and temporary credentials for workloads, including federation for workloads outside AWS. (</w:t>
      </w:r>
      <w:hyperlink r:id="rId15">
        <w:r>
          <w:rPr>
            <w:color w:val="00838A"/>
            <w:u w:val="single"/>
          </w:rPr>
          <w:t>AWS IAM best practices</w:t>
        </w:r>
      </w:hyperlink>
      <w:r>
        <w:t>)</w:t>
      </w:r>
    </w:p>
    <w:p>
      <w:pPr>
        <w:pStyle w:val="ListBullet"/>
      </w:pPr>
      <w:r>
        <w:t>Google Cloud identifies Workload Identity Federation as the preferred method for external workloads and uses it to exchange external identity for short-lived credentials; it warns that service-account keys are risky if not managed correctly. (</w:t>
      </w:r>
      <w:hyperlink r:id="rId26">
        <w:r>
          <w:rPr>
            <w:color w:val="00838A"/>
            <w:u w:val="single"/>
          </w:rPr>
          <w:t>Google Cloud workload identities</w:t>
        </w:r>
      </w:hyperlink>
      <w:r>
        <w:t>)</w:t>
      </w:r>
    </w:p>
    <w:p>
      <w:pPr>
        <w:pStyle w:val="ListBullet"/>
      </w:pPr>
      <w:r>
        <w:t>GitHub Actions can issue OpenID Connect tokens containing claims that cloud roles can test as trust conditions. (</w:t>
      </w:r>
      <w:hyperlink r:id="rId27">
        <w:r>
          <w:rPr>
            <w:color w:val="00838A"/>
            <w:u w:val="single"/>
          </w:rPr>
          <w:t>GitHub OIDC reference</w:t>
        </w:r>
      </w:hyperlink>
      <w:r>
        <w:t>)</w:t>
      </w:r>
    </w:p>
    <w:p>
      <w:pPr>
        <w:pStyle w:val="ListBullet"/>
      </w:pPr>
      <w:r>
        <w:t>Kubernetes 1.22 and later mounts short-lived, automatically rotating service-account tokens via TokenRequest; bound-token validation can fail immediately after the associated pod is deleted when TokenReview is used. Kubernetes also allows automountServiceAccountToken: false. (</w:t>
      </w:r>
      <w:hyperlink r:id="rId18">
        <w:r>
          <w:rPr>
            <w:color w:val="00838A"/>
            <w:u w:val="single"/>
          </w:rPr>
          <w:t>Kubernetes service accounts</w:t>
        </w:r>
      </w:hyperlink>
      <w:r>
        <w:t>)</w:t>
      </w:r>
    </w:p>
    <w:p>
      <w:pPr>
        <w:pStyle w:val="Heading3"/>
      </w:pPr>
      <w:r>
        <w:t>Issuance policy</w:t>
      </w:r>
    </w:p>
    <w:p>
      <w:r>
        <w:t>A broker should issue only when all required facts are true:</w:t>
      </w:r>
    </w:p>
    <w:p>
      <w:pPr>
        <w:pStyle w:val="NoSpacing"/>
      </w:pPr>
      <w:r>
        <w:rPr>
          <w:rFonts w:ascii="DejaVu Sans Mono" w:hAnsi="DejaVu Sans Mono"/>
          <w:sz w:val="15"/>
        </w:rPr>
        <w:t>allow issue(capability) if</w:t>
        <w:br/>
        <w:t xml:space="preserve">  runtime.attested</w:t>
        <w:br/>
        <w:t xml:space="preserve">  and runtime.image_digest in task.approved_digests</w:t>
        <w:br/>
        <w:t xml:space="preserve">  and task.sponsor_active</w:t>
        <w:br/>
        <w:t xml:space="preserve">  and task.repo == request.repo</w:t>
        <w:br/>
        <w:t xml:space="preserve">  and task.ref is protected</w:t>
        <w:br/>
        <w:t xml:space="preserve">  and request.audience == target_service</w:t>
        <w:br/>
        <w:t xml:space="preserve">  and request.actions ⊆ task.allowed_actions</w:t>
        <w:br/>
        <w:t xml:space="preserve">  and request.resources ⊆ task.allowed_resources</w:t>
        <w:br/>
        <w:t xml:space="preserve">  and task.risk_budget_remaining</w:t>
        <w:br/>
        <w:t xml:space="preserve">  and now &lt; task.expiry</w:t>
        <w:br/>
        <w:t xml:space="preserve">  and no incident_hold(runtime, sponsor, repo, target)</w:t>
      </w:r>
    </w:p>
    <w:p>
      <w:r>
        <w:t xml:space="preserve">Analysis: original illustrative policy, not a vendor syntax. It operationalizes claim and audience restrictions described by </w:t>
      </w:r>
      <w:hyperlink r:id="rId27">
        <w:r>
          <w:rPr>
            <w:color w:val="00838A"/>
            <w:u w:val="single"/>
          </w:rPr>
          <w:t>GitHub OIDC</w:t>
        </w:r>
      </w:hyperlink>
      <w:r>
        <w:t xml:space="preserve">, workload attestation described by </w:t>
      </w:r>
      <w:hyperlink r:id="rId28">
        <w:r>
          <w:rPr>
            <w:color w:val="00838A"/>
            <w:u w:val="single"/>
          </w:rPr>
          <w:t>SPIFFE</w:t>
        </w:r>
      </w:hyperlink>
      <w:r>
        <w:t xml:space="preserve">, and per-resource authorization in </w:t>
      </w:r>
      <w:hyperlink r:id="rId14">
        <w:r>
          <w:rPr>
            <w:color w:val="00838A"/>
            <w:u w:val="single"/>
          </w:rPr>
          <w:t>NIST SP 800-207A</w:t>
        </w:r>
      </w:hyperlink>
      <w:r>
        <w:t>.</w:t>
      </w:r>
    </w:p>
    <w:p>
      <w:r>
        <w:t>Credential properties should include:</w:t>
      </w:r>
    </w:p>
    <w:p>
      <w:pPr>
        <w:pStyle w:val="ListBullet"/>
      </w:pPr>
      <w:r>
        <w:t>TTL measured against task steps, normally minutes and seconds for destructive operations.</w:t>
      </w:r>
    </w:p>
    <w:p>
      <w:pPr>
        <w:pStyle w:val="ListBullet"/>
      </w:pPr>
      <w:r>
        <w:t>Audience restriction so a token issued to artifact storage cannot authenticate to the cluster API.</w:t>
      </w:r>
    </w:p>
    <w:p>
      <w:pPr>
        <w:pStyle w:val="ListBullet"/>
      </w:pPr>
      <w:r>
        <w:t>Resource restriction to exact repository, bucket prefix, namespace, deployment, or secret path.</w:t>
      </w:r>
    </w:p>
    <w:p>
      <w:pPr>
        <w:pStyle w:val="ListBullet"/>
      </w:pPr>
      <w:r>
        <w:t>Action restriction such as get without list, create-pr without merge, or deploy without IAM modification.</w:t>
      </w:r>
    </w:p>
    <w:p>
      <w:pPr>
        <w:pStyle w:val="ListBullet"/>
      </w:pPr>
      <w:r>
        <w:t>Proof of possession where supported, reducing the value of copied bearer tokens.</w:t>
      </w:r>
    </w:p>
    <w:p>
      <w:pPr>
        <w:pStyle w:val="ListBullet"/>
      </w:pPr>
      <w:r>
        <w:t>No refresh token inside the runtime. Renewal returns to the broker and re-evaluates current state.</w:t>
      </w:r>
    </w:p>
    <w:p>
      <w:pPr>
        <w:pStyle w:val="ListBullet"/>
      </w:pPr>
      <w:r>
        <w:t>Session tagging with task, sponsor, build digest, repository/ref, policy version, and risk tier.</w:t>
      </w:r>
    </w:p>
    <w:p>
      <w:r>
        <w:t>Short lifetime reduces persistence, but the Hugging Face sequence shows why architects must also eliminate credential adjacency. If a worker can read a node credential, query an instance metadata service, enumerate Kubernetes secrets, or call an unrestricted token broker, its own narrow token is irrelevant.</w:t>
      </w:r>
    </w:p>
    <w:p>
      <w:pPr>
        <w:pStyle w:val="Heading2"/>
      </w:pPr>
      <w:r>
        <w:t>4. Engineer blast radius as a multidimensional budget</w:t>
      </w:r>
    </w:p>
    <w:p>
      <w:r>
        <w:t>Static RBAC asks, “What may this role do?” Agent-safe authorization must also ask, “For which task, object, audience, provenance, time, rate, and cumulative consequence?”</w:t>
      </w:r>
    </w:p>
    <w:p>
      <w:pPr>
        <w:pStyle w:val="Heading3"/>
      </w:pPr>
      <w:r>
        <w:t>Figure 2. Capability corridor</w:t>
      </w:r>
    </w:p>
    <w:p>
      <w:r>
        <w:drawing>
          <wp:inline xmlns:a="http://schemas.openxmlformats.org/drawingml/2006/main" xmlns:pic="http://schemas.openxmlformats.org/drawingml/2006/picture">
            <wp:extent cx="5897880" cy="3317558"/>
            <wp:docPr id="3" name="Picture 3"/>
            <wp:cNvGraphicFramePr>
              <a:graphicFrameLocks noChangeAspect="1"/>
            </wp:cNvGraphicFramePr>
            <a:graphic>
              <a:graphicData uri="http://schemas.openxmlformats.org/drawingml/2006/picture">
                <pic:pic>
                  <pic:nvPicPr>
                    <pic:cNvPr id="0" name="figure_corridor.png"/>
                    <pic:cNvPicPr/>
                  </pic:nvPicPr>
                  <pic:blipFill>
                    <a:blip r:embed="rId11"/>
                    <a:stretch>
                      <a:fillRect/>
                    </a:stretch>
                  </pic:blipFill>
                  <pic:spPr>
                    <a:xfrm>
                      <a:off x="0" y="0"/>
                      <a:ext cx="5897880" cy="3317558"/>
                    </a:xfrm>
                    <a:prstGeom prst="rect"/>
                  </pic:spPr>
                </pic:pic>
              </a:graphicData>
            </a:graphic>
          </wp:inline>
        </w:drawing>
      </w:r>
    </w:p>
    <w:p>
      <w:r>
        <w:t xml:space="preserve">Original illustration: Ask Anything reference architecture. Sources: </w:t>
      </w:r>
      <w:hyperlink r:id="rId14">
        <w:r>
          <w:rPr>
            <w:color w:val="00838A"/>
            <w:u w:val="single"/>
          </w:rPr>
          <w:t>NIST SP 800-207A</w:t>
        </w:r>
      </w:hyperlink>
      <w:r>
        <w:t xml:space="preserve">, </w:t>
      </w:r>
      <w:hyperlink r:id="rId16">
        <w:r>
          <w:rPr>
            <w:color w:val="00838A"/>
            <w:u w:val="single"/>
          </w:rPr>
          <w:t>OWASP AI Agent Security Cheat Sheet</w:t>
        </w:r>
      </w:hyperlink>
      <w:r>
        <w:t xml:space="preserve">, and </w:t>
      </w:r>
      <w:hyperlink r:id="rId29">
        <w:r>
          <w:rPr>
            <w:color w:val="00838A"/>
            <w:u w:val="single"/>
          </w:rPr>
          <w:t>SPIFFE Workload API</w:t>
        </w:r>
      </w:hyperlink>
      <w:r>
        <w:t>.</w:t>
      </w:r>
    </w:p>
    <w:p>
      <w:pPr>
        <w:pStyle w:val="Heading3"/>
      </w:pPr>
      <w:r>
        <w:t>Bound each dimension</w:t>
      </w:r>
    </w:p>
    <w:p>
      <w:r>
        <w:t>Resource: prefer object-level grants over account or project roles. An agent repairing repository A does not need organization enumeration. A deployment agent needs one namespace and one signed artifact, not cluster-admin.</w:t>
      </w:r>
    </w:p>
    <w:p>
      <w:r>
        <w:t>Action: split read, propose, approve, execute, and verify. Most coding agents should propose changes through a pull request. Merge, release, signing, production deployment, secret read, and policy change are separate capabilities.</w:t>
      </w:r>
    </w:p>
    <w:p>
      <w:r>
        <w:t>Time: issue after the task begins and expire before the runtime can be repurposed. For long jobs, re-authorize at checkpoints rather than using a refresh token.</w:t>
      </w:r>
    </w:p>
    <w:p>
      <w:r>
        <w:t>Reachability: deny direct network paths that authorization did not name. Route outbound calls through identity-aware egress proxies with destination, method, byte, DNS, and rate policy. A denied IAM action is less useful if the same target is reachable through a management backdoor.</w:t>
      </w:r>
    </w:p>
    <w:p>
      <w:r>
        <w:t>Delegation: a child agent may receive only an attenuated subset of the parent capability. It cannot extend expiry, add audiences, access the parent’s raw credential, or create an unconstrained descendant.</w:t>
      </w:r>
    </w:p>
    <w:p>
      <w:r>
        <w:t>Velocity and cumulative effect: cap calls per minute, objects enumerated, bytes read, repositories touched, secrets requested, failed authorizations, token exchanges, and concurrent subagents. A single allowed read can be reasonable; 50,000 reads in two minutes can be an attack.</w:t>
      </w:r>
    </w:p>
    <w:p>
      <w:r>
        <w:t>Irreversibility: require a distinct approval and credential for deletion, publication, signing, deployment, financial commitment, user communication, or IAM modification. OWASP recommends separating decision from execution for irreversible operations and not relying on model output for authorization decisions. (</w:t>
      </w:r>
      <w:hyperlink r:id="rId16">
        <w:r>
          <w:rPr>
            <w:color w:val="00838A"/>
            <w:u w:val="single"/>
          </w:rPr>
          <w:t>OWASP AI Agent Security Cheat Sheet</w:t>
        </w:r>
      </w:hyperlink>
      <w:r>
        <w:t>)</w:t>
      </w:r>
    </w:p>
    <w:p>
      <w:pPr>
        <w:pStyle w:val="Heading3"/>
      </w:pPr>
      <w:r>
        <w:t>Deny dangerous combinations</w:t>
      </w:r>
    </w:p>
    <w:p>
      <w:r>
        <w:t>Risk emerges from combinations that each look acceptable alone. Policy should reject:</w:t>
      </w:r>
    </w:p>
    <w:p>
      <w:pPr>
        <w:pStyle w:val="ListBullet"/>
      </w:pPr>
      <w:r>
        <w:t>untrusted input plus secret access plus outbound communication;</w:t>
      </w:r>
    </w:p>
    <w:p>
      <w:pPr>
        <w:pStyle w:val="ListBullet"/>
      </w:pPr>
      <w:r>
        <w:t>code execution plus node metadata access;</w:t>
      </w:r>
    </w:p>
    <w:p>
      <w:pPr>
        <w:pStyle w:val="ListBullet"/>
      </w:pPr>
      <w:r>
        <w:t>repository write plus workflow modification plus automatic merge;</w:t>
      </w:r>
    </w:p>
    <w:p>
      <w:pPr>
        <w:pStyle w:val="ListBullet"/>
      </w:pPr>
      <w:r>
        <w:t>package publish plus signing key use;</w:t>
      </w:r>
    </w:p>
    <w:p>
      <w:pPr>
        <w:pStyle w:val="ListBullet"/>
      </w:pPr>
      <w:r>
        <w:t>secret read plus IAM policy modification;</w:t>
      </w:r>
    </w:p>
    <w:p>
      <w:pPr>
        <w:pStyle w:val="ListBullet"/>
      </w:pPr>
      <w:r>
        <w:t>broad discovery/listing plus cross-account token exchange;</w:t>
      </w:r>
    </w:p>
    <w:p>
      <w:pPr>
        <w:pStyle w:val="ListBullet"/>
      </w:pPr>
      <w:r>
        <w:t>tool installation plus persistent memory modification;</w:t>
      </w:r>
    </w:p>
    <w:p>
      <w:pPr>
        <w:pStyle w:val="ListBullet"/>
      </w:pPr>
      <w:r>
        <w:t>production mutation plus the ability to suppress or alter security logs.</w:t>
      </w:r>
    </w:p>
    <w:p>
      <w:r>
        <w:t>The Microsoft case is a documented example of the first pattern: untrusted GitHub content, file-reading authority, runner secrets, and a possible communication path formed the exploitable boundary. (</w:t>
      </w:r>
      <w:hyperlink r:id="rId17">
        <w:r>
          <w:rPr>
            <w:color w:val="00838A"/>
            <w:u w:val="single"/>
          </w:rPr>
          <w:t>Microsoft</w:t>
        </w:r>
      </w:hyperlink>
      <w:r>
        <w:t>)</w:t>
      </w:r>
    </w:p>
    <w:p>
      <w:pPr>
        <w:pStyle w:val="Heading2"/>
      </w:pPr>
      <w:r>
        <w:t>5. Segment developer infrastructure into promotion cells</w:t>
      </w:r>
    </w:p>
    <w:p>
      <w:r>
        <w:t>Network segmentation alone is not enough, but identity without isolation is also insufficient. SPIFFE explicitly assumes sufficient workload isolation to prevent credential theft between workloads, and recommends different trust domains where environments apply different security practices. (</w:t>
      </w:r>
      <w:hyperlink r:id="rId19">
        <w:r>
          <w:rPr>
            <w:color w:val="00838A"/>
            <w:u w:val="single"/>
          </w:rPr>
          <w:t>SPIFFE concepts</w:t>
        </w:r>
      </w:hyperlink>
      <w:r>
        <w:t>)</w:t>
      </w:r>
    </w:p>
    <w:p>
      <w:r>
        <w:t>Use separate administrative and identity domains for:</w:t>
      </w:r>
    </w:p>
    <w:p>
      <w:pPr>
        <w:pStyle w:val="ListNumber"/>
      </w:pPr>
      <w:r>
        <w:t>Intake/quarantine: process public issues, pull requests, models, datasets, archives, and generated artifacts without secrets or production connectivity.</w:t>
      </w:r>
    </w:p>
    <w:p>
      <w:pPr>
        <w:pStyle w:val="ListNumber"/>
      </w:pPr>
      <w:r>
        <w:t>Build/test: compile and test with read-only source and isolated dependency caches; no deploy, signing, IAM, or production-data authority.</w:t>
      </w:r>
    </w:p>
    <w:p>
      <w:pPr>
        <w:pStyle w:val="ListNumber"/>
      </w:pPr>
      <w:r>
        <w:t>Artifact registry: accept immutable, scanned outputs with provenance; builders may write new objects but cannot overwrite released ones.</w:t>
      </w:r>
    </w:p>
    <w:p>
      <w:pPr>
        <w:pStyle w:val="ListNumber"/>
      </w:pPr>
      <w:r>
        <w:t>Release/signing: consume only verified digests through a narrow interface; signing keys remain in a hardware-backed service and are never returned to the agent.</w:t>
      </w:r>
    </w:p>
    <w:p>
      <w:pPr>
        <w:pStyle w:val="ListNumber"/>
      </w:pPr>
      <w:r>
        <w:t>Deployment: promote one approved digest to one environment; no source modification or secret enumeration.</w:t>
      </w:r>
    </w:p>
    <w:p>
      <w:pPr>
        <w:pStyle w:val="ListNumber"/>
      </w:pPr>
      <w:r>
        <w:t>Production runtime: no trust path back to CI; operational identities are workload-specific.</w:t>
      </w:r>
    </w:p>
    <w:p>
      <w:pPr>
        <w:pStyle w:val="ListNumber"/>
      </w:pPr>
      <w:r>
        <w:t>Identity and security control plane: agent workloads cannot administer issuers, policies, audit sinks, admission controls, or detection rules.</w:t>
      </w:r>
    </w:p>
    <w:p>
      <w:r>
        <w:t>Promotion is a message or signed artifact crossing a gate—not a shared filesystem, inherited environment, reusable token, or flat network. Build workers should be disposable, non-privileged, rootless where feasible, and prevented from reaching node metadata, host sockets, control-plane endpoints, and unrelated workloads.</w:t>
      </w:r>
    </w:p>
    <w:p>
      <w:pPr>
        <w:pStyle w:val="Heading3"/>
      </w:pPr>
      <w:r>
        <w:t>Documented examples that inform the design</w:t>
      </w:r>
    </w:p>
    <w:p>
      <w:pPr>
        <w:pStyle w:val="ListNumber"/>
      </w:pPr>
      <w:r>
        <w:t>Hugging Face, 2026: malicious data processing became node access, credential harvesting, and movement to several clusters. The control implication is to make untrusted artifact processing a secretless quarantine cell. (</w:t>
      </w:r>
      <w:hyperlink r:id="rId12">
        <w:r>
          <w:rPr>
            <w:color w:val="00838A"/>
            <w:u w:val="single"/>
          </w:rPr>
          <w:t>Disclosure</w:t>
        </w:r>
      </w:hyperlink>
      <w:r>
        <w:t>)</w:t>
      </w:r>
    </w:p>
    <w:p>
      <w:pPr>
        <w:pStyle w:val="ListNumber"/>
      </w:pPr>
      <w:r>
        <w:t>Claude Code GitHub Action research, 2026: a read tool could access runner environment data after prompt influence from untrusted repository content; the cited path was fixed in version 2.1.128. The implication is to remove ambient secrets and mediate every tool, not only shell subprocesses. (</w:t>
      </w:r>
      <w:hyperlink r:id="rId17">
        <w:r>
          <w:rPr>
            <w:color w:val="00838A"/>
            <w:u w:val="single"/>
          </w:rPr>
          <w:t>Microsoft</w:t>
        </w:r>
      </w:hyperlink>
      <w:r>
        <w:t>)</w:t>
      </w:r>
    </w:p>
    <w:p>
      <w:pPr>
        <w:pStyle w:val="ListNumber"/>
      </w:pPr>
      <w:r>
        <w:t>GitHub job token design: a per-job repository-scoped token expires at job end or its effective maximum lifetime. The implication is that job-level identity is preferable to a shared personal token, while explicit permissions remain necessary. (</w:t>
      </w:r>
      <w:hyperlink r:id="rId23">
        <w:r>
          <w:rPr>
            <w:color w:val="00838A"/>
            <w:u w:val="single"/>
          </w:rPr>
          <w:t>GitHub</w:t>
        </w:r>
      </w:hyperlink>
      <w:r>
        <w:t>)</w:t>
      </w:r>
    </w:p>
    <w:p>
      <w:pPr>
        <w:pStyle w:val="ListNumber"/>
      </w:pPr>
      <w:r>
        <w:t>Kubernetes bound tokens: modern projected service-account tokens are short-lived and can be tied to a pod object; deletion can invalidate them immediately when checked through TokenReview. The implication is to bind identity to runtime lifecycle and audience. (</w:t>
      </w:r>
      <w:hyperlink r:id="rId18">
        <w:r>
          <w:rPr>
            <w:color w:val="00838A"/>
            <w:u w:val="single"/>
          </w:rPr>
          <w:t>Kubernetes</w:t>
        </w:r>
      </w:hyperlink>
      <w:r>
        <w:t>)</w:t>
      </w:r>
    </w:p>
    <w:p>
      <w:pPr>
        <w:pStyle w:val="ListNumber"/>
      </w:pPr>
      <w:r>
        <w:t>Google deployment federation: supported CI/CD systems can present job/workflow identity and exchange it for short-lived cloud access. The implication is to replace stored cloud keys with claim-tested federation. (</w:t>
      </w:r>
      <w:hyperlink r:id="rId30">
        <w:r>
          <w:rPr>
            <w:color w:val="00838A"/>
            <w:u w:val="single"/>
          </w:rPr>
          <w:t>Google Cloud</w:t>
        </w:r>
      </w:hyperlink>
      <w:r>
        <w:t>)</w:t>
      </w:r>
    </w:p>
    <w:p>
      <w:pPr>
        <w:pStyle w:val="ListNumber"/>
      </w:pPr>
      <w:r>
        <w:t>SPIFFE/SPIRE: process- or workload-level attestation can deliver short-lived X.509 identity through a local endpoint. The implication is to decouple identity from host IP and static secrets. (</w:t>
      </w:r>
      <w:hyperlink r:id="rId28">
        <w:r>
          <w:rPr>
            <w:color w:val="00838A"/>
            <w:u w:val="single"/>
          </w:rPr>
          <w:t>SPIFFE</w:t>
        </w:r>
      </w:hyperlink>
      <w:r>
        <w:t>)</w:t>
      </w:r>
    </w:p>
    <w:p>
      <w:r>
        <w:t>These examples document mechanisms and incidents, not proof that any single product configuration would have prevented the full Hugging Face event.</w:t>
      </w:r>
    </w:p>
    <w:p>
      <w:pPr>
        <w:pStyle w:val="Heading2"/>
      </w:pPr>
      <w:r>
        <w:t>6. Put a deterministic policy gateway between reasoning and execution</w:t>
      </w:r>
    </w:p>
    <w:p>
      <w:r>
        <w:t>The model may recommend an action; it must not be the final authority for whether the action occurs. Tool adapters should expose narrow, typed operations such as read_file(repo, path, ref), open_pull_request(repo, branch, patch), or deploy_digest(service, digest, environment). Avoid generic shell, unrestricted HTTP, raw database query, arbitrary cloud SDK, and “execute code” interfaces in privileged zones.</w:t>
      </w:r>
    </w:p>
    <w:p>
      <w:r>
        <w:t>The gateway validates:</w:t>
      </w:r>
    </w:p>
    <w:p>
      <w:pPr>
        <w:pStyle w:val="ListBullet"/>
      </w:pPr>
      <w:r>
        <w:t>caller workload and task identity;</w:t>
      </w:r>
    </w:p>
    <w:p>
      <w:pPr>
        <w:pStyle w:val="ListBullet"/>
      </w:pPr>
      <w:r>
        <w:t>sponsor and delegation chain;</w:t>
      </w:r>
    </w:p>
    <w:p>
      <w:pPr>
        <w:pStyle w:val="ListBullet"/>
      </w:pPr>
      <w:r>
        <w:t>tool name, version, schema, and allowed parameters;</w:t>
      </w:r>
    </w:p>
    <w:p>
      <w:pPr>
        <w:pStyle w:val="ListBullet"/>
      </w:pPr>
      <w:r>
        <w:t>target resource and current sensitivity;</w:t>
      </w:r>
    </w:p>
    <w:p>
      <w:pPr>
        <w:pStyle w:val="ListBullet"/>
      </w:pPr>
      <w:r>
        <w:t>provenance of input and artifact;</w:t>
      </w:r>
    </w:p>
    <w:p>
      <w:pPr>
        <w:pStyle w:val="ListBullet"/>
      </w:pPr>
      <w:r>
        <w:t>requested action against policy;</w:t>
      </w:r>
    </w:p>
    <w:p>
      <w:pPr>
        <w:pStyle w:val="ListBullet"/>
      </w:pPr>
      <w:r>
        <w:t>cumulative risk and velocity;</w:t>
      </w:r>
    </w:p>
    <w:p>
      <w:pPr>
        <w:pStyle w:val="ListBullet"/>
      </w:pPr>
      <w:r>
        <w:t>required approval or separation of duties;</w:t>
      </w:r>
    </w:p>
    <w:p>
      <w:pPr>
        <w:pStyle w:val="ListBullet"/>
      </w:pPr>
      <w:r>
        <w:t>network destination and expected response class.</w:t>
      </w:r>
    </w:p>
    <w:p>
      <w:r>
        <w:t>Outputs also need mediation. Responses can contain credentials, prompt injections, or new executable content. Redact secrets before returning data to model context; label provenance; cap response size; and block tool output from silently expanding the action plan. The OWASP guidance calls for validation of external inputs, structured outputs, isolation of memory, signed inter-agent communication, limits on retries and tool chains, and high-risk decision metadata. (</w:t>
      </w:r>
      <w:hyperlink r:id="rId16">
        <w:r>
          <w:rPr>
            <w:color w:val="00838A"/>
            <w:u w:val="single"/>
          </w:rPr>
          <w:t>OWASP</w:t>
        </w:r>
      </w:hyperlink>
      <w:r>
        <w:t>)</w:t>
      </w:r>
    </w:p>
    <w:p>
      <w:pPr>
        <w:pStyle w:val="Heading3"/>
      </w:pPr>
      <w:r>
        <w:t>Approval without theater</w:t>
      </w:r>
    </w:p>
    <w:p>
      <w:r>
        <w:t>Human-in-the-loop controls fail when a reviewer sees an opaque natural-language summary and clicks “approve.” Approval must display the exact diff, immutable artifact digest, resource set, action, environment, and expiry. The approved capability must cryptographically bind those values, so an agent cannot change the payload after approval. Approval should be mandatory for:</w:t>
      </w:r>
    </w:p>
    <w:p>
      <w:pPr>
        <w:pStyle w:val="ListBullet"/>
      </w:pPr>
      <w:r>
        <w:t>new trust or federation relationships;</w:t>
      </w:r>
    </w:p>
    <w:p>
      <w:pPr>
        <w:pStyle w:val="ListBullet"/>
      </w:pPr>
      <w:r>
        <w:t>IAM, identity broker, policy, or audit changes;</w:t>
      </w:r>
    </w:p>
    <w:p>
      <w:pPr>
        <w:pStyle w:val="ListBullet"/>
      </w:pPr>
      <w:r>
        <w:t>production writes outside a routine canary;</w:t>
      </w:r>
    </w:p>
    <w:p>
      <w:pPr>
        <w:pStyle w:val="ListBullet"/>
      </w:pPr>
      <w:r>
        <w:t>signing, publishing, deletion, or external communication;</w:t>
      </w:r>
    </w:p>
    <w:p>
      <w:pPr>
        <w:pStyle w:val="ListBullet"/>
      </w:pPr>
      <w:r>
        <w:t>widening of tool, network, or data scope;</w:t>
      </w:r>
    </w:p>
    <w:p>
      <w:pPr>
        <w:pStyle w:val="ListBullet"/>
      </w:pPr>
      <w:r>
        <w:t>access to secret values rather than use through a broker.</w:t>
      </w:r>
    </w:p>
    <w:p>
      <w:r>
        <w:t>Low-risk, reversible actions may remain autonomous inside a bounded policy. The objective is not maximum clicking; it is deterministic prevention of scope expansion.</w:t>
      </w:r>
    </w:p>
    <w:p>
      <w:pPr>
        <w:pStyle w:val="Heading2"/>
      </w:pPr>
      <w:r>
        <w:t>7. Build an independent identity detection and kill plane</w:t>
      </w:r>
    </w:p>
    <w:p>
      <w:r>
        <w:t>The Hugging Face team reports that AI-assisted anomaly correlation surfaced the compromise and that LLM agents helped reconstruct more than 17,000 events in hours. That is useful evidence for machine-speed analysis, but prevention and containment should not depend on a model deciding to behave. (</w:t>
      </w:r>
      <w:hyperlink r:id="rId12">
        <w:r>
          <w:rPr>
            <w:color w:val="00838A"/>
            <w:u w:val="single"/>
          </w:rPr>
          <w:t>Hugging Face</w:t>
        </w:r>
      </w:hyperlink>
      <w:r>
        <w:t>)</w:t>
      </w:r>
    </w:p>
    <w:p>
      <w:r>
        <w:t>Every event should carry:</w:t>
      </w:r>
    </w:p>
    <w:p>
      <w:pPr>
        <w:pStyle w:val="NoSpacing"/>
      </w:pPr>
      <w:r>
        <w:rPr>
          <w:rFonts w:ascii="DejaVu Sans Mono" w:hAnsi="DejaVu Sans Mono"/>
          <w:sz w:val="15"/>
        </w:rPr>
        <w:t>timestamp • sponsor • runtime ID • task ID • parent task • agent/model version</w:t>
        <w:br/>
        <w:t>artifact digest • credential/session ID • issuer • audience • policy version</w:t>
        <w:br/>
        <w:t>tool + typed parameters • target resource • decision + reason • bytes/objects</w:t>
        <w:br/>
        <w:t>network destination • result • approval evidence • trace ID</w:t>
      </w:r>
    </w:p>
    <w:p>
      <w:r>
        <w:t>Security telemetry must leave the agent’s administrative domain through append-only or tamper-evident collection. The agent may read a filtered view for troubleshooting; it may not delete, rewrite, suppress, or reconfigure authoritative logs.</w:t>
      </w:r>
    </w:p>
    <w:p>
      <w:pPr>
        <w:pStyle w:val="Heading3"/>
      </w:pPr>
      <w:r>
        <w:t>High-signal detections</w:t>
      </w:r>
    </w:p>
    <w:p>
      <w:pPr>
        <w:pStyle w:val="ListBullet"/>
      </w:pPr>
      <w:r>
        <w:t>one task requesting credentials for multiple audiences or environments;</w:t>
      </w:r>
    </w:p>
    <w:p>
      <w:pPr>
        <w:pStyle w:val="ListBullet"/>
      </w:pPr>
      <w:r>
        <w:t>a build identity calling cluster, IAM, vault, signing, or security-control APIs;</w:t>
      </w:r>
    </w:p>
    <w:p>
      <w:pPr>
        <w:pStyle w:val="ListBullet"/>
      </w:pPr>
      <w:r>
        <w:t>access to instance metadata, host sockets, /proc secrets, kubelet paths, or service-account token directories;</w:t>
      </w:r>
    </w:p>
    <w:p>
      <w:pPr>
        <w:pStyle w:val="ListBullet"/>
      </w:pPr>
      <w:r>
        <w:t>enumeration followed by token exchange or secret retrieval;</w:t>
      </w:r>
    </w:p>
    <w:p>
      <w:pPr>
        <w:pStyle w:val="ListBullet"/>
      </w:pPr>
      <w:r>
        <w:t>fan-out across accounts, repositories, namespaces, or regions;</w:t>
      </w:r>
    </w:p>
    <w:p>
      <w:pPr>
        <w:pStyle w:val="ListBullet"/>
      </w:pPr>
      <w:r>
        <w:t>repeated denied actions with mutated parameters;</w:t>
      </w:r>
    </w:p>
    <w:p>
      <w:pPr>
        <w:pStyle w:val="ListBullet"/>
      </w:pPr>
      <w:r>
        <w:t>creation of new agents, runners, federation subjects, credentials, or scheduled jobs;</w:t>
      </w:r>
    </w:p>
    <w:p>
      <w:pPr>
        <w:pStyle w:val="ListBullet"/>
      </w:pPr>
      <w:r>
        <w:t>egress to a new domain, public paste/storage service, tunneling endpoint, or unusual DNS pattern;</w:t>
      </w:r>
    </w:p>
    <w:p>
      <w:pPr>
        <w:pStyle w:val="ListBullet"/>
      </w:pPr>
      <w:r>
        <w:t>task behavior inconsistent with its declared tool graph;</w:t>
      </w:r>
    </w:p>
    <w:p>
      <w:pPr>
        <w:pStyle w:val="ListBullet"/>
      </w:pPr>
      <w:r>
        <w:t>access rate or data volume outside the task budget.</w:t>
      </w:r>
    </w:p>
    <w:p>
      <w:pPr>
        <w:pStyle w:val="Heading3"/>
      </w:pPr>
      <w:r>
        <w:t>Automatic containment</w:t>
      </w:r>
    </w:p>
    <w:p>
      <w:r>
        <w:t>The kill plane must be independent of the agent orchestration plane and capable of:</w:t>
      </w:r>
    </w:p>
    <w:p>
      <w:pPr>
        <w:pStyle w:val="ListNumber"/>
      </w:pPr>
      <w:r>
        <w:t>denying further token issuance and renewals for the task, runtime, sponsor, repository, or issuer;</w:t>
      </w:r>
    </w:p>
    <w:p>
      <w:pPr>
        <w:pStyle w:val="ListNumber"/>
      </w:pPr>
      <w:r>
        <w:t>revoking active sessions where the target supports it;</w:t>
      </w:r>
    </w:p>
    <w:p>
      <w:pPr>
        <w:pStyle w:val="ListNumber"/>
      </w:pPr>
      <w:r>
        <w:t>blocking egress and east-west traffic;</w:t>
      </w:r>
    </w:p>
    <w:p>
      <w:pPr>
        <w:pStyle w:val="ListNumber"/>
      </w:pPr>
      <w:r>
        <w:t>quarantining or terminating the runtime and descendants;</w:t>
      </w:r>
    </w:p>
    <w:p>
      <w:pPr>
        <w:pStyle w:val="ListNumber"/>
      </w:pPr>
      <w:r>
        <w:t>disabling the affected federation subject or workload registration;</w:t>
      </w:r>
    </w:p>
    <w:p>
      <w:pPr>
        <w:pStyle w:val="ListNumber"/>
      </w:pPr>
      <w:r>
        <w:t>freezing promotion and signing paths;</w:t>
      </w:r>
    </w:p>
    <w:p>
      <w:pPr>
        <w:pStyle w:val="ListNumber"/>
      </w:pPr>
      <w:r>
        <w:t>preserving memory, prompts, tool calls, filesystem snapshots, and identity logs;</w:t>
      </w:r>
    </w:p>
    <w:p>
      <w:pPr>
        <w:pStyle w:val="ListNumber"/>
      </w:pPr>
      <w:r>
        <w:t>rotating only credentials proven exposed, while using broader precautionary rotation when mapping is incomplete.</w:t>
      </w:r>
    </w:p>
    <w:p>
      <w:r>
        <w:t>Temporary credentials expire, but they may remain usable until expiry; systems should not assume short TTL equals immediate revocation. Kubernetes’ TokenReview behavior demonstrates a useful lifecycle-binding pattern because deletion of a bound object can invalidate the token immediately for validators that use TokenReview. (</w:t>
      </w:r>
      <w:hyperlink r:id="rId18">
        <w:r>
          <w:rPr>
            <w:color w:val="00838A"/>
            <w:u w:val="single"/>
          </w:rPr>
          <w:t>Kubernetes</w:t>
        </w:r>
      </w:hyperlink>
      <w:r>
        <w:t>)</w:t>
      </w:r>
    </w:p>
    <w:p>
      <w:pPr>
        <w:pStyle w:val="Heading2"/>
      </w:pPr>
      <w:r>
        <w:t>8. Governance: manage NHIs as software supply-chain objects</w:t>
      </w:r>
    </w:p>
    <w:p>
      <w:r>
        <w:t>NHI governance should join identity governance with software provenance and runtime policy. Each identity definition belongs in version control, receives code-owner review, passes policy tests, and deploys through promotion gates. The inventory should answer: Who owns it? What creates it? Which artifacts can assume it? Which resources and actions can it reach? Which identities can it mint or impersonate? Which logs prove use? How is it revoked?</w:t>
      </w:r>
    </w:p>
    <w:p>
      <w:pPr>
        <w:pStyle w:val="Heading3"/>
      </w:pPr>
      <w:r>
        <w:t>Required lifecycle controls</w:t>
      </w:r>
    </w:p>
    <w:p>
      <w:pPr>
        <w:pStyle w:val="ListBullet"/>
      </w:pPr>
      <w:r>
        <w:t>Register: unique principal per workload and trust zone; no shared “automation” accounts.</w:t>
      </w:r>
    </w:p>
    <w:p>
      <w:pPr>
        <w:pStyle w:val="ListBullet"/>
      </w:pPr>
      <w:r>
        <w:t>Attest: bind issuance to signed image/workflow/artifact and expected runtime selectors.</w:t>
      </w:r>
    </w:p>
    <w:p>
      <w:pPr>
        <w:pStyle w:val="ListBullet"/>
      </w:pPr>
      <w:r>
        <w:t>Authorize: resource/action/audience/task conditions; explicit deny for privilege-bearing combinations.</w:t>
      </w:r>
    </w:p>
    <w:p>
      <w:pPr>
        <w:pStyle w:val="ListBullet"/>
      </w:pPr>
      <w:r>
        <w:t>Observe: session tags and cross-plane traceability.</w:t>
      </w:r>
    </w:p>
    <w:p>
      <w:pPr>
        <w:pStyle w:val="ListBullet"/>
      </w:pPr>
      <w:r>
        <w:t>Review: compare granted and observed permissions; remove unused actions and trust subjects.</w:t>
      </w:r>
    </w:p>
    <w:p>
      <w:pPr>
        <w:pStyle w:val="ListBullet"/>
      </w:pPr>
      <w:r>
        <w:t>Expire: identities, registrations, and policy grants have owners and end dates.</w:t>
      </w:r>
    </w:p>
    <w:p>
      <w:pPr>
        <w:pStyle w:val="ListBullet"/>
      </w:pPr>
      <w:r>
        <w:t>Revoke: tested emergency path covers issuer, broker, network, runtime, and downstream sessions.</w:t>
      </w:r>
    </w:p>
    <w:p>
      <w:r>
        <w:t>AWS recommends access analysis, removal of unused identities and permissions, conditions that further restrict access, policy validation, and permissions boundaries. (</w:t>
      </w:r>
      <w:hyperlink r:id="rId15">
        <w:r>
          <w:rPr>
            <w:color w:val="00838A"/>
            <w:u w:val="single"/>
          </w:rPr>
          <w:t>AWS IAM best practices</w:t>
        </w:r>
      </w:hyperlink>
      <w:r>
        <w:t>) NIST’s least-privilege control family includes separate processing domains, review of privileges, control of code-execution privilege levels, and logging of privileged functions. (</w:t>
      </w:r>
      <w:hyperlink r:id="rId31">
        <w:r>
          <w:rPr>
            <w:color w:val="00838A"/>
            <w:u w:val="single"/>
          </w:rPr>
          <w:t>NIST SP 800-53 Rev. 5 control catalog</w:t>
        </w:r>
      </w:hyperlink>
      <w:r>
        <w:t>)</w:t>
      </w:r>
    </w:p>
    <w:p>
      <w:pPr>
        <w:pStyle w:val="Heading3"/>
      </w:pPr>
      <w:r>
        <w:t>Metrics that expose real risk</w:t>
      </w:r>
    </w:p>
    <w:p>
      <w:r>
        <w:t>Track:</w:t>
      </w:r>
    </w:p>
    <w:p>
      <w:pPr>
        <w:pStyle w:val="ListBullet"/>
      </w:pPr>
      <w:r>
        <w:t>percentage of agent tasks beginning with zero standing secrets;</w:t>
      </w:r>
    </w:p>
    <w:p>
      <w:pPr>
        <w:pStyle w:val="ListBullet"/>
      </w:pPr>
      <w:r>
        <w:t>percentage of credentials that are task-, audience-, and resource-bound;</w:t>
      </w:r>
    </w:p>
    <w:p>
      <w:pPr>
        <w:pStyle w:val="ListBullet"/>
      </w:pPr>
      <w:r>
        <w:t>maximum reachable privilege from each intake cell;</w:t>
      </w:r>
    </w:p>
    <w:p>
      <w:pPr>
        <w:pStyle w:val="ListBullet"/>
      </w:pPr>
      <w:r>
        <w:t>median and 95th-percentile capability lifetime;</w:t>
      </w:r>
    </w:p>
    <w:p>
      <w:pPr>
        <w:pStyle w:val="ListBullet"/>
      </w:pPr>
      <w:r>
        <w:t>number of identities with wildcard actions/resources or multi-environment trust;</w:t>
      </w:r>
    </w:p>
    <w:p>
      <w:pPr>
        <w:pStyle w:val="ListBullet"/>
      </w:pPr>
      <w:r>
        <w:t>number of paths from untrusted input to secrets, outbound network, signing, IAM, or production;</w:t>
      </w:r>
    </w:p>
    <w:p>
      <w:pPr>
        <w:pStyle w:val="ListBullet"/>
      </w:pPr>
      <w:r>
        <w:t>time from high-confidence detection to issuance block, network quarantine, and session invalidation;</w:t>
      </w:r>
    </w:p>
    <w:p>
      <w:pPr>
        <w:pStyle w:val="ListBullet"/>
      </w:pPr>
      <w:r>
        <w:t>orphaned identities and unused grants;</w:t>
      </w:r>
    </w:p>
    <w:p>
      <w:pPr>
        <w:pStyle w:val="ListBullet"/>
      </w:pPr>
      <w:r>
        <w:t>privileged tool calls without linked task intent and approval;</w:t>
      </w:r>
    </w:p>
    <w:p>
      <w:pPr>
        <w:pStyle w:val="ListBullet"/>
      </w:pPr>
      <w:r>
        <w:t>successful red-team attempts to expand scope, steal a token, or persist.</w:t>
      </w:r>
    </w:p>
    <w:p>
      <w:r>
        <w:t>Counting rotated passwords or vaulted secrets can create false confidence. The meaningful measure is whether compromise of one task identity can cross a protected boundary before automatic containment.</w:t>
      </w:r>
    </w:p>
    <w:p>
      <w:pPr>
        <w:pStyle w:val="Heading2"/>
      </w:pPr>
      <w:r>
        <w:t>9. Implementation blueprint</w:t>
      </w:r>
    </w:p>
    <w:p>
      <w:pPr>
        <w:pStyle w:val="Heading3"/>
      </w:pPr>
      <w:r>
        <w:t>First 72 hours: reduce catastrophic paths</w:t>
      </w:r>
    </w:p>
    <w:p>
      <w:pPr>
        <w:pStyle w:val="ListNumber"/>
      </w:pPr>
      <w:r>
        <w:t>Disable agent workflows triggered by untrusted public content if they also receive secrets, write permissions, or unrestricted egress.</w:t>
      </w:r>
    </w:p>
    <w:p>
      <w:pPr>
        <w:pStyle w:val="ListNumber"/>
      </w:pPr>
      <w:r>
        <w:t>Remove production cloud keys, kubeconfigs, signing credentials, and personal tokens from runner environments and files.</w:t>
      </w:r>
    </w:p>
    <w:p>
      <w:pPr>
        <w:pStyle w:val="ListNumber"/>
      </w:pPr>
      <w:r>
        <w:t>Set GitHub workflow permissions explicitly and read-only by default; isolate pull-request and issue processing from privileged workflows. (</w:t>
      </w:r>
      <w:hyperlink r:id="rId24">
        <w:r>
          <w:rPr>
            <w:color w:val="00838A"/>
            <w:u w:val="single"/>
          </w:rPr>
          <w:t>GitHub secure use</w:t>
        </w:r>
      </w:hyperlink>
      <w:r>
        <w:t>)</w:t>
      </w:r>
    </w:p>
    <w:p>
      <w:pPr>
        <w:pStyle w:val="ListNumber"/>
      </w:pPr>
      <w:r>
        <w:t>Block worker access to node metadata, host/container sockets, control-plane endpoints, and unrelated namespaces.</w:t>
      </w:r>
    </w:p>
    <w:p>
      <w:pPr>
        <w:pStyle w:val="ListNumber"/>
      </w:pPr>
      <w:r>
        <w:t>Turn off automatic Kubernetes service-account token mounts where unnecessary and replace legacy long-lived tokens. (</w:t>
      </w:r>
      <w:hyperlink r:id="rId18">
        <w:r>
          <w:rPr>
            <w:color w:val="00838A"/>
            <w:u w:val="single"/>
          </w:rPr>
          <w:t>Kubernetes</w:t>
        </w:r>
      </w:hyperlink>
      <w:r>
        <w:t>)</w:t>
      </w:r>
    </w:p>
    <w:p>
      <w:pPr>
        <w:pStyle w:val="ListNumber"/>
      </w:pPr>
      <w:r>
        <w:t>Restrict egress to explicit destinations and preserve DNS/proxy logs.</w:t>
      </w:r>
    </w:p>
    <w:p>
      <w:pPr>
        <w:pStyle w:val="ListNumber"/>
      </w:pPr>
      <w:r>
        <w:t>Establish a rapid kill procedure covering broker issuance, runtime quarantine, and promotion freeze.</w:t>
      </w:r>
    </w:p>
    <w:p>
      <w:pPr>
        <w:pStyle w:val="Heading3"/>
      </w:pPr>
      <w:r>
        <w:t>First 30 days: establish per-task identity</w:t>
      </w:r>
    </w:p>
    <w:p>
      <w:pPr>
        <w:pStyle w:val="ListNumber"/>
      </w:pPr>
      <w:r>
        <w:t>Inventory agent, pipeline, bot, service, workload, application, and federation identities.</w:t>
      </w:r>
    </w:p>
    <w:p>
      <w:pPr>
        <w:pStyle w:val="ListNumber"/>
      </w:pPr>
      <w:r>
        <w:t>Split intake, build, artifact, release, deploy, production, and identity-control trust zones.</w:t>
      </w:r>
    </w:p>
    <w:p>
      <w:pPr>
        <w:pStyle w:val="ListNumber"/>
      </w:pPr>
      <w:r>
        <w:t>Deploy workload federation or SPIFFE/SPIRE for short-lived attested identity.</w:t>
      </w:r>
    </w:p>
    <w:p>
      <w:pPr>
        <w:pStyle w:val="ListNumber"/>
      </w:pPr>
      <w:r>
        <w:t>Create task manifests containing sponsor, objective, inputs, tools, resources, actions, expiry, and risk budget.</w:t>
      </w:r>
    </w:p>
    <w:p>
      <w:pPr>
        <w:pStyle w:val="ListNumber"/>
      </w:pPr>
      <w:r>
        <w:t>Put high-risk tools behind typed gateways; prohibit raw credentials from being returned to the agent.</w:t>
      </w:r>
    </w:p>
    <w:p>
      <w:pPr>
        <w:pStyle w:val="ListNumber"/>
      </w:pPr>
      <w:r>
        <w:t>Propagate task and session identifiers into cloud, cluster, source-control, vault, proxy, and tool logs.</w:t>
      </w:r>
    </w:p>
    <w:p>
      <w:pPr>
        <w:pStyle w:val="ListNumber"/>
      </w:pPr>
      <w:r>
        <w:t>Test one-click containment for a task and all descendants.</w:t>
      </w:r>
    </w:p>
    <w:p>
      <w:pPr>
        <w:pStyle w:val="Heading3"/>
      </w:pPr>
      <w:r>
        <w:t>Days 31–90: enforce capability corridors</w:t>
      </w:r>
    </w:p>
    <w:p>
      <w:pPr>
        <w:pStyle w:val="ListNumber"/>
      </w:pPr>
      <w:r>
        <w:t>Replace broad roles with object-level and action-level policies derived from observed legitimate use.</w:t>
      </w:r>
    </w:p>
    <w:p>
      <w:pPr>
        <w:pStyle w:val="ListNumber"/>
      </w:pPr>
      <w:r>
        <w:t>Bind issuance to protected refs, immutable workflow identity, signed artifact digests, and environment.</w:t>
      </w:r>
    </w:p>
    <w:p>
      <w:pPr>
        <w:pStyle w:val="ListNumber"/>
      </w:pPr>
      <w:r>
        <w:t>Add budgets for rate, fan-out, bytes, enumeration, retries, token exchanges, and subagent depth.</w:t>
      </w:r>
    </w:p>
    <w:p>
      <w:pPr>
        <w:pStyle w:val="ListNumber"/>
      </w:pPr>
      <w:r>
        <w:t>Require bound approval for IAM, signing, publishing, deletion, production mutation, and scope expansion.</w:t>
      </w:r>
    </w:p>
    <w:p>
      <w:pPr>
        <w:pStyle w:val="ListNumber"/>
      </w:pPr>
      <w:r>
        <w:t>Make secret use non-exportable: the broker or dedicated service performs the operation.</w:t>
      </w:r>
    </w:p>
    <w:p>
      <w:pPr>
        <w:pStyle w:val="ListNumber"/>
      </w:pPr>
      <w:r>
        <w:t>Red-team prompt injection, malicious artifacts, broker abuse, credential replay, metadata access, cross-task memory, and delegated-agent escape.</w:t>
      </w:r>
    </w:p>
    <w:p>
      <w:pPr>
        <w:pStyle w:val="ListNumber"/>
      </w:pPr>
      <w:r>
        <w:t>Measure time-to-deny, time-to-quarantine, and the largest reachable blast radius.</w:t>
      </w:r>
    </w:p>
    <w:p>
      <w:pPr>
        <w:pStyle w:val="Heading3"/>
      </w:pPr>
      <w:r>
        <w:t>Reference control matrix</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t>Boundary</w:t>
            </w:r>
          </w:p>
        </w:tc>
        <w:tc>
          <w:tcPr>
            <w:tcW w:type="dxa" w:w="2160"/>
          </w:tcPr>
          <w:p>
            <w:r>
              <w:t>Prevent</w:t>
            </w:r>
          </w:p>
        </w:tc>
        <w:tc>
          <w:tcPr>
            <w:tcW w:type="dxa" w:w="2160"/>
          </w:tcPr>
          <w:p>
            <w:r>
              <w:t>Detect</w:t>
            </w:r>
          </w:p>
        </w:tc>
        <w:tc>
          <w:tcPr>
            <w:tcW w:type="dxa" w:w="2160"/>
          </w:tcPr>
          <w:p>
            <w:r>
              <w:t>Contain</w:t>
            </w:r>
          </w:p>
        </w:tc>
      </w:tr>
      <w:tr>
        <w:tc>
          <w:tcPr>
            <w:tcW w:type="dxa" w:w="2160"/>
            <w:vAlign w:val="center"/>
          </w:tcPr>
          <w:p>
            <w:r>
              <w:t>Untrusted input → execution</w:t>
            </w:r>
          </w:p>
        </w:tc>
        <w:tc>
          <w:tcPr>
            <w:tcW w:type="dxa" w:w="2160"/>
            <w:vAlign w:val="center"/>
          </w:tcPr>
          <w:p>
            <w:r>
              <w:t>Safe parsers; no remote code; quarantine</w:t>
            </w:r>
          </w:p>
        </w:tc>
        <w:tc>
          <w:tcPr>
            <w:tcW w:type="dxa" w:w="2160"/>
            <w:vAlign w:val="center"/>
          </w:tcPr>
          <w:p>
            <w:r>
              <w:t>Parser anomaly; unexpected process tree</w:t>
            </w:r>
          </w:p>
        </w:tc>
        <w:tc>
          <w:tcPr>
            <w:tcW w:type="dxa" w:w="2160"/>
            <w:vAlign w:val="center"/>
          </w:tcPr>
          <w:p>
            <w:r>
              <w:t>Destroy worker; block artifact</w:t>
            </w:r>
          </w:p>
        </w:tc>
      </w:tr>
      <w:tr>
        <w:tc>
          <w:tcPr>
            <w:tcW w:type="dxa" w:w="2160"/>
            <w:vAlign w:val="center"/>
          </w:tcPr>
          <w:p>
            <w:r>
              <w:t>Worker → node</w:t>
            </w:r>
          </w:p>
        </w:tc>
        <w:tc>
          <w:tcPr>
            <w:tcW w:type="dxa" w:w="2160"/>
            <w:vAlign w:val="center"/>
          </w:tcPr>
          <w:p>
            <w:r>
              <w:t>Rootless isolation; no host mounts/sockets</w:t>
            </w:r>
          </w:p>
        </w:tc>
        <w:tc>
          <w:tcPr>
            <w:tcW w:type="dxa" w:w="2160"/>
            <w:vAlign w:val="center"/>
          </w:tcPr>
          <w:p>
            <w:r>
              <w:t>Metadata/socket/proc access</w:t>
            </w:r>
          </w:p>
        </w:tc>
        <w:tc>
          <w:tcPr>
            <w:tcW w:type="dxa" w:w="2160"/>
            <w:vAlign w:val="center"/>
          </w:tcPr>
          <w:p>
            <w:r>
              <w:t>Quarantine node pool</w:t>
            </w:r>
          </w:p>
        </w:tc>
      </w:tr>
      <w:tr>
        <w:tc>
          <w:tcPr>
            <w:tcW w:type="dxa" w:w="2160"/>
            <w:vAlign w:val="center"/>
          </w:tcPr>
          <w:p>
            <w:r>
              <w:t>Runtime → credential</w:t>
            </w:r>
          </w:p>
        </w:tc>
        <w:tc>
          <w:tcPr>
            <w:tcW w:type="dxa" w:w="2160"/>
            <w:vAlign w:val="center"/>
          </w:tcPr>
          <w:p>
            <w:r>
              <w:t>Local broker; attestation; no ambient secrets</w:t>
            </w:r>
          </w:p>
        </w:tc>
        <w:tc>
          <w:tcPr>
            <w:tcW w:type="dxa" w:w="2160"/>
            <w:vAlign w:val="center"/>
          </w:tcPr>
          <w:p>
            <w:r>
              <w:t>New audience; excessive exchanges</w:t>
            </w:r>
          </w:p>
        </w:tc>
        <w:tc>
          <w:tcPr>
            <w:tcW w:type="dxa" w:w="2160"/>
            <w:vAlign w:val="center"/>
          </w:tcPr>
          <w:p>
            <w:r>
              <w:t>Stop issuance; revoke session</w:t>
            </w:r>
          </w:p>
        </w:tc>
      </w:tr>
      <w:tr>
        <w:tc>
          <w:tcPr>
            <w:tcW w:type="dxa" w:w="2160"/>
            <w:vAlign w:val="center"/>
          </w:tcPr>
          <w:p>
            <w:r>
              <w:t>Credential → resource</w:t>
            </w:r>
          </w:p>
        </w:tc>
        <w:tc>
          <w:tcPr>
            <w:tcW w:type="dxa" w:w="2160"/>
            <w:vAlign w:val="center"/>
          </w:tcPr>
          <w:p>
            <w:r>
              <w:t>Object/action/audience conditions</w:t>
            </w:r>
          </w:p>
        </w:tc>
        <w:tc>
          <w:tcPr>
            <w:tcW w:type="dxa" w:w="2160"/>
            <w:vAlign w:val="center"/>
          </w:tcPr>
          <w:p>
            <w:r>
              <w:t>Cross-resource fan-out</w:t>
            </w:r>
          </w:p>
        </w:tc>
        <w:tc>
          <w:tcPr>
            <w:tcW w:type="dxa" w:w="2160"/>
            <w:vAlign w:val="center"/>
          </w:tcPr>
          <w:p>
            <w:r>
              <w:t>Resource/session deny</w:t>
            </w:r>
          </w:p>
        </w:tc>
      </w:tr>
      <w:tr>
        <w:tc>
          <w:tcPr>
            <w:tcW w:type="dxa" w:w="2160"/>
            <w:vAlign w:val="center"/>
          </w:tcPr>
          <w:p>
            <w:r>
              <w:t>Agent → tool</w:t>
            </w:r>
          </w:p>
        </w:tc>
        <w:tc>
          <w:tcPr>
            <w:tcW w:type="dxa" w:w="2160"/>
            <w:vAlign w:val="center"/>
          </w:tcPr>
          <w:p>
            <w:r>
              <w:t>Typed gateway; schema and policy</w:t>
            </w:r>
          </w:p>
        </w:tc>
        <w:tc>
          <w:tcPr>
            <w:tcW w:type="dxa" w:w="2160"/>
            <w:vAlign w:val="center"/>
          </w:tcPr>
          <w:p>
            <w:r>
              <w:t>Denials, mutated retries, novel tool chain</w:t>
            </w:r>
          </w:p>
        </w:tc>
        <w:tc>
          <w:tcPr>
            <w:tcW w:type="dxa" w:w="2160"/>
            <w:vAlign w:val="center"/>
          </w:tcPr>
          <w:p>
            <w:r>
              <w:t>Disable tool/task</w:t>
            </w:r>
          </w:p>
        </w:tc>
      </w:tr>
      <w:tr>
        <w:tc>
          <w:tcPr>
            <w:tcW w:type="dxa" w:w="2160"/>
            <w:vAlign w:val="center"/>
          </w:tcPr>
          <w:p>
            <w:r>
              <w:t>Cell → cell</w:t>
            </w:r>
          </w:p>
        </w:tc>
        <w:tc>
          <w:tcPr>
            <w:tcW w:type="dxa" w:w="2160"/>
            <w:vAlign w:val="center"/>
          </w:tcPr>
          <w:p>
            <w:r>
              <w:t>Signed promotion; distinct trust domains</w:t>
            </w:r>
          </w:p>
        </w:tc>
        <w:tc>
          <w:tcPr>
            <w:tcW w:type="dxa" w:w="2160"/>
            <w:vAlign w:val="center"/>
          </w:tcPr>
          <w:p>
            <w:r>
              <w:t>Unexpected east-west call</w:t>
            </w:r>
          </w:p>
        </w:tc>
        <w:tc>
          <w:tcPr>
            <w:tcW w:type="dxa" w:w="2160"/>
            <w:vAlign w:val="center"/>
          </w:tcPr>
          <w:p>
            <w:r>
              <w:t>Freeze promotion; segment network</w:t>
            </w:r>
          </w:p>
        </w:tc>
      </w:tr>
      <w:tr>
        <w:tc>
          <w:tcPr>
            <w:tcW w:type="dxa" w:w="2160"/>
            <w:vAlign w:val="center"/>
          </w:tcPr>
          <w:p>
            <w:r>
              <w:t>Agent → descendants</w:t>
            </w:r>
          </w:p>
        </w:tc>
        <w:tc>
          <w:tcPr>
            <w:tcW w:type="dxa" w:w="2160"/>
            <w:vAlign w:val="center"/>
          </w:tcPr>
          <w:p>
            <w:r>
              <w:t>Attenuated delegation; depth/concurrency cap</w:t>
            </w:r>
          </w:p>
        </w:tc>
        <w:tc>
          <w:tcPr>
            <w:tcW w:type="dxa" w:w="2160"/>
            <w:vAlign w:val="center"/>
          </w:tcPr>
          <w:p>
            <w:r>
              <w:t>Spawn burst; scope mismatch</w:t>
            </w:r>
          </w:p>
        </w:tc>
        <w:tc>
          <w:tcPr>
            <w:tcW w:type="dxa" w:w="2160"/>
            <w:vAlign w:val="center"/>
          </w:tcPr>
          <w:p>
            <w:r>
              <w:t>Revoke parent subtree</w:t>
            </w:r>
          </w:p>
        </w:tc>
      </w:tr>
      <w:tr>
        <w:tc>
          <w:tcPr>
            <w:tcW w:type="dxa" w:w="2160"/>
            <w:vAlign w:val="center"/>
          </w:tcPr>
          <w:p>
            <w:r>
              <w:t>Workload → internet</w:t>
            </w:r>
          </w:p>
        </w:tc>
        <w:tc>
          <w:tcPr>
            <w:tcW w:type="dxa" w:w="2160"/>
            <w:vAlign w:val="center"/>
          </w:tcPr>
          <w:p>
            <w:r>
              <w:t>Allowlisted identity-aware egress</w:t>
            </w:r>
          </w:p>
        </w:tc>
        <w:tc>
          <w:tcPr>
            <w:tcW w:type="dxa" w:w="2160"/>
            <w:vAlign w:val="center"/>
          </w:tcPr>
          <w:p>
            <w:r>
              <w:t>Novel destination/volume</w:t>
            </w:r>
          </w:p>
        </w:tc>
        <w:tc>
          <w:tcPr>
            <w:tcW w:type="dxa" w:w="2160"/>
            <w:vAlign w:val="center"/>
          </w:tcPr>
          <w:p>
            <w:r>
              <w:t>Sinkhole or deny egress</w:t>
            </w:r>
          </w:p>
        </w:tc>
      </w:tr>
    </w:tbl>
    <w:p>
      <w:r>
        <w:t xml:space="preserve">Analysis: original Ask Anything control matrix. Supporting control bases: </w:t>
      </w:r>
      <w:hyperlink r:id="rId14">
        <w:r>
          <w:rPr>
            <w:color w:val="00838A"/>
            <w:u w:val="single"/>
          </w:rPr>
          <w:t>NIST SP 800-207A</w:t>
        </w:r>
      </w:hyperlink>
      <w:r>
        <w:t xml:space="preserve">, </w:t>
      </w:r>
      <w:hyperlink r:id="rId16">
        <w:r>
          <w:rPr>
            <w:color w:val="00838A"/>
            <w:u w:val="single"/>
          </w:rPr>
          <w:t>OWASP agent guidance</w:t>
        </w:r>
      </w:hyperlink>
      <w:r>
        <w:t xml:space="preserve">, </w:t>
      </w:r>
      <w:hyperlink r:id="rId15">
        <w:r>
          <w:rPr>
            <w:color w:val="00838A"/>
            <w:u w:val="single"/>
          </w:rPr>
          <w:t>AWS IAM practices</w:t>
        </w:r>
      </w:hyperlink>
      <w:r>
        <w:t xml:space="preserve">, and </w:t>
      </w:r>
      <w:hyperlink r:id="rId18">
        <w:r>
          <w:rPr>
            <w:color w:val="00838A"/>
            <w:u w:val="single"/>
          </w:rPr>
          <w:t>Kubernetes service-account guidance</w:t>
        </w:r>
      </w:hyperlink>
      <w:r>
        <w:t>.</w:t>
      </w:r>
    </w:p>
    <w:p>
      <w:pPr>
        <w:pStyle w:val="Heading2"/>
      </w:pPr>
      <w:r>
        <w:t>Practical synthesis</w:t>
      </w:r>
    </w:p>
    <w:p>
      <w:r>
        <w:t>The redesign can be summarized as four architectural rules:</w:t>
      </w:r>
    </w:p>
    <w:p>
      <w:r>
        <w:t>Identity follows execution, not ownership. Give the attested runtime and task their own identities. Preserve the human sponsor as context, never as a bearer credential.</w:t>
      </w:r>
    </w:p>
    <w:p>
      <w:r>
        <w:t>Authority is a per-action capability. A task manifest limits tools, resources, actions, audience, time, rate, delegation, and irreversible effects. A deterministic gateway—not the model—enforces it.</w:t>
      </w:r>
    </w:p>
    <w:p>
      <w:r>
        <w:t>Trust zones are promotion cells. Untrusted intake, build, artifact, release, deploy, production, and identity control do not share credentials or flat connectivity. Only signed artifacts and narrow messages cross.</w:t>
      </w:r>
    </w:p>
    <w:p>
      <w:r>
        <w:t>Containment is a control plane. Independent identity and network telemetry must be able to stop issuance, revoke sessions, quarantine runtimes, and freeze promotion before an autonomous loop can fan out.</w:t>
      </w:r>
    </w:p>
    <w:p>
      <w:r>
        <w:t>A useful architecture review question is: If the least trusted input obtains arbitrary code execution in its current cell, what exact credential, network, tool, and delegation edges remain? If the answer includes node identity, a broad secret store, a production role, arbitrary egress, or authority to alter identity and logs, the boundary is not agent-ready.</w:t>
      </w:r>
    </w:p>
    <w:p>
      <w:pPr>
        <w:pStyle w:val="Heading2"/>
      </w:pPr>
      <w:r>
        <w:t>Evidence and caveats</w:t>
      </w:r>
    </w:p>
    <w:p>
      <w:r>
        <w:t>The Hugging Face account is a first-party incident disclosure and is the strongest source for what that organization observed, but the public post is not a complete forensic report. It does not publish a full timeline, every affected credential, the exact agent model, or independent validation. Claims beyond the disclosed facts have therefore not been presented as established details. (</w:t>
      </w:r>
      <w:hyperlink r:id="rId12">
        <w:r>
          <w:rPr>
            <w:color w:val="00838A"/>
            <w:u w:val="single"/>
          </w:rPr>
          <w:t>Hugging Face</w:t>
        </w:r>
      </w:hyperlink>
      <w:r>
        <w:t>)</w:t>
      </w:r>
    </w:p>
    <w:p>
      <w:r>
        <w:t>The Microsoft report is first-party security research with a stated responsible-disclosure outcome. It establishes one concrete path in one product/version and a broader dangerous combination; it does not establish that all coding agents or all file tools are exploitable. (</w:t>
      </w:r>
      <w:hyperlink r:id="rId17">
        <w:r>
          <w:rPr>
            <w:color w:val="00838A"/>
            <w:u w:val="single"/>
          </w:rPr>
          <w:t>Microsoft</w:t>
        </w:r>
      </w:hyperlink>
      <w:r>
        <w:t>)</w:t>
      </w:r>
    </w:p>
    <w:p>
      <w:r>
        <w:t>The autonomous exploitation study has a small benchmark, an older model generation, and a laboratory setup. Its 87% and 7% findings must not be treated as current real-world attack probabilities. (</w:t>
      </w:r>
      <w:hyperlink r:id="rId21">
        <w:r>
          <w:rPr>
            <w:color w:val="00838A"/>
            <w:u w:val="single"/>
          </w:rPr>
          <w:t>Fang et al.</w:t>
        </w:r>
      </w:hyperlink>
      <w:r>
        <w:t>)</w:t>
      </w:r>
    </w:p>
    <w:p>
      <w:r>
        <w:t>NIST, Kubernetes, SPIFFE, GitHub, AWS, Google Cloud, and OWASP provide control models and implementable mechanisms. They do not certify the reference architecture in this report or guarantee prevention. Configuration quality, target-service authorization, runtime isolation, credential replay properties, and incident response remain decisive.</w:t>
      </w:r>
    </w:p>
    <w:p>
      <w:r>
        <w:t>Some controls trade autonomy for friction. Narrow object grants can increase policy volume; proof-of-possession is not uniformly supported; immediate downstream revocation is inconsistent; egress allowlists can impede research tasks; and human approvals can become rubber stamps. Architects should use task risk tiers, simulation, staged rollout, and policy-as-code tests rather than relaxing the highest-consequence boundaries.</w:t>
      </w:r>
    </w:p>
    <w:p>
      <w:r>
        <w:t>Open questions include how to standardize task and delegation identity across agent frameworks; how to attest model, prompt, tools, and memory as one execution state; how to express cumulative consequence in authorization policy; how to revoke federated sessions consistently across providers; and how to validate that a child agent received a strictly attenuated capability.</w:t>
      </w:r>
    </w:p>
    <w:p>
      <w:pPr>
        <w:pStyle w:val="Heading2"/>
      </w:pPr>
      <w:r>
        <w:t>Sources</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t>Claim supported</w:t>
            </w:r>
          </w:p>
        </w:tc>
        <w:tc>
          <w:tcPr>
            <w:tcW w:type="dxa" w:w="2160"/>
          </w:tcPr>
          <w:p>
            <w:r>
              <w:t>Evidence type</w:t>
            </w:r>
          </w:p>
        </w:tc>
        <w:tc>
          <w:tcPr>
            <w:tcW w:type="dxa" w:w="2160"/>
          </w:tcPr>
          <w:p>
            <w:r>
              <w:t>Primary source</w:t>
            </w:r>
          </w:p>
        </w:tc>
        <w:tc>
          <w:tcPr>
            <w:tcW w:type="dxa" w:w="2160"/>
          </w:tcPr>
          <w:p>
            <w:r>
              <w:t>Direct URL</w:t>
            </w:r>
          </w:p>
        </w:tc>
      </w:tr>
      <w:tr>
        <w:tc>
          <w:tcPr>
            <w:tcW w:type="dxa" w:w="2160"/>
            <w:vAlign w:val="center"/>
          </w:tcPr>
          <w:p>
            <w:r>
              <w:t>July 2026 intrusion sequence, affected assets, response, and 17,000+ event analysis</w:t>
            </w:r>
          </w:p>
        </w:tc>
        <w:tc>
          <w:tcPr>
            <w:tcW w:type="dxa" w:w="2160"/>
            <w:vAlign w:val="center"/>
          </w:tcPr>
          <w:p>
            <w:r>
              <w:t>Primary, first-party incident disclosure</w:t>
            </w:r>
          </w:p>
        </w:tc>
        <w:tc>
          <w:tcPr>
            <w:tcW w:type="dxa" w:w="2160"/>
            <w:vAlign w:val="center"/>
          </w:tcPr>
          <w:p>
            <w:r>
              <w:t>Hugging Face, “Security incident disclosure — July 2026,” 2026</w:t>
            </w:r>
          </w:p>
        </w:tc>
        <w:tc>
          <w:tcPr>
            <w:tcW w:type="dxa" w:w="2160"/>
            <w:vAlign w:val="center"/>
          </w:tcPr>
          <w:p>
            <w:hyperlink r:id="rId12">
              <w:r>
                <w:rPr>
                  <w:color w:val="00838A"/>
                  <w:u w:val="single"/>
                </w:rPr>
                <w:t>https://huggingface.co/blog/security-incident-july-2026</w:t>
              </w:r>
            </w:hyperlink>
          </w:p>
        </w:tc>
      </w:tr>
      <w:tr>
        <w:tc>
          <w:tcPr>
            <w:tcW w:type="dxa" w:w="2160"/>
            <w:vAlign w:val="center"/>
          </w:tcPr>
          <w:p>
            <w:r>
              <w:t>Prompt-influenced CI agent could read runner environment; mitigation version</w:t>
            </w:r>
          </w:p>
        </w:tc>
        <w:tc>
          <w:tcPr>
            <w:tcW w:type="dxa" w:w="2160"/>
            <w:vAlign w:val="center"/>
          </w:tcPr>
          <w:p>
            <w:r>
              <w:t>Primary, first-party security research</w:t>
            </w:r>
          </w:p>
        </w:tc>
        <w:tc>
          <w:tcPr>
            <w:tcW w:type="dxa" w:w="2160"/>
            <w:vAlign w:val="center"/>
          </w:tcPr>
          <w:p>
            <w:r>
              <w:t>Microsoft Defender Security Research, “Securing CI/CD in an agentic world,” 2026</w:t>
            </w:r>
          </w:p>
        </w:tc>
        <w:tc>
          <w:tcPr>
            <w:tcW w:type="dxa" w:w="2160"/>
            <w:vAlign w:val="center"/>
          </w:tcPr>
          <w:p>
            <w:hyperlink r:id="rId17">
              <w:r>
                <w:rPr>
                  <w:color w:val="00838A"/>
                  <w:u w:val="single"/>
                </w:rPr>
                <w:t>https://www.microsoft.com/en-us/security/blog/2026/06/05/securing-ci-cd-in-agentic-world-claude-code-github-action-case/</w:t>
              </w:r>
            </w:hyperlink>
          </w:p>
        </w:tc>
      </w:tr>
      <w:tr>
        <w:tc>
          <w:tcPr>
            <w:tcW w:type="dxa" w:w="2160"/>
            <w:vAlign w:val="center"/>
          </w:tcPr>
          <w:p>
            <w:r>
              <w:t>Autonomous exploitation benchmark, population, comparators, and results</w:t>
            </w:r>
          </w:p>
        </w:tc>
        <w:tc>
          <w:tcPr>
            <w:tcW w:type="dxa" w:w="2160"/>
            <w:vAlign w:val="center"/>
          </w:tcPr>
          <w:p>
            <w:r>
              <w:t>Primary research/preprint</w:t>
            </w:r>
          </w:p>
        </w:tc>
        <w:tc>
          <w:tcPr>
            <w:tcW w:type="dxa" w:w="2160"/>
            <w:vAlign w:val="center"/>
          </w:tcPr>
          <w:p>
            <w:r>
              <w:t>Fang, Bindu, Gupta &amp; Kang, “LLM Agents can Autonomously Exploit One-day Vulnerabilities,” 2024, arXiv:2404.08144</w:t>
            </w:r>
          </w:p>
        </w:tc>
        <w:tc>
          <w:tcPr>
            <w:tcW w:type="dxa" w:w="2160"/>
            <w:vAlign w:val="center"/>
          </w:tcPr>
          <w:p>
            <w:hyperlink r:id="rId21">
              <w:r>
                <w:rPr>
                  <w:color w:val="00838A"/>
                  <w:u w:val="single"/>
                </w:rPr>
                <w:t>https://arxiv.org/abs/2404.08144</w:t>
              </w:r>
            </w:hyperlink>
          </w:p>
        </w:tc>
      </w:tr>
      <w:tr>
        <w:tc>
          <w:tcPr>
            <w:tcW w:type="dxa" w:w="2160"/>
            <w:vAlign w:val="center"/>
          </w:tcPr>
          <w:p>
            <w:r>
              <w:t>Zero-trust principles and per-resource authorization</w:t>
            </w:r>
          </w:p>
        </w:tc>
        <w:tc>
          <w:tcPr>
            <w:tcW w:type="dxa" w:w="2160"/>
            <w:vAlign w:val="center"/>
          </w:tcPr>
          <w:p>
            <w:r>
              <w:t>Official standard/guidance</w:t>
            </w:r>
          </w:p>
        </w:tc>
        <w:tc>
          <w:tcPr>
            <w:tcW w:type="dxa" w:w="2160"/>
            <w:vAlign w:val="center"/>
          </w:tcPr>
          <w:p>
            <w:r>
              <w:t>NIST SP 800-207, Zero Trust Architecture, 2020</w:t>
            </w:r>
          </w:p>
        </w:tc>
        <w:tc>
          <w:tcPr>
            <w:tcW w:type="dxa" w:w="2160"/>
            <w:vAlign w:val="center"/>
          </w:tcPr>
          <w:p>
            <w:hyperlink r:id="rId13">
              <w:r>
                <w:rPr>
                  <w:color w:val="00838A"/>
                  <w:u w:val="single"/>
                </w:rPr>
                <w:t>https://doi.org/10.6028/NIST.SP.800-207</w:t>
              </w:r>
            </w:hyperlink>
          </w:p>
        </w:tc>
      </w:tr>
      <w:tr>
        <w:tc>
          <w:tcPr>
            <w:tcW w:type="dxa" w:w="2160"/>
            <w:vAlign w:val="center"/>
          </w:tcPr>
          <w:p>
            <w:r>
              <w:t>Cloud-native identity-tier policies, gateways, and SPIFFE model</w:t>
            </w:r>
          </w:p>
        </w:tc>
        <w:tc>
          <w:tcPr>
            <w:tcW w:type="dxa" w:w="2160"/>
            <w:vAlign w:val="center"/>
          </w:tcPr>
          <w:p>
            <w:r>
              <w:t>Official standard/guidance</w:t>
            </w:r>
          </w:p>
        </w:tc>
        <w:tc>
          <w:tcPr>
            <w:tcW w:type="dxa" w:w="2160"/>
            <w:vAlign w:val="center"/>
          </w:tcPr>
          <w:p>
            <w:r>
              <w:t>NIST SP 800-207A, 2023</w:t>
            </w:r>
          </w:p>
        </w:tc>
        <w:tc>
          <w:tcPr>
            <w:tcW w:type="dxa" w:w="2160"/>
            <w:vAlign w:val="center"/>
          </w:tcPr>
          <w:p>
            <w:hyperlink r:id="rId14">
              <w:r>
                <w:rPr>
                  <w:color w:val="00838A"/>
                  <w:u w:val="single"/>
                </w:rPr>
                <w:t>https://doi.org/10.6028/NIST.SP.800-207A</w:t>
              </w:r>
            </w:hyperlink>
          </w:p>
        </w:tc>
      </w:tr>
      <w:tr>
        <w:tc>
          <w:tcPr>
            <w:tcW w:type="dxa" w:w="2160"/>
            <w:vAlign w:val="center"/>
          </w:tcPr>
          <w:p>
            <w:r>
              <w:t>Emerging agent-security practices and shared responsibility</w:t>
            </w:r>
          </w:p>
        </w:tc>
        <w:tc>
          <w:tcPr>
            <w:tcW w:type="dxa" w:w="2160"/>
            <w:vAlign w:val="center"/>
          </w:tcPr>
          <w:p>
            <w:r>
              <w:t>Primary industry issue brief</w:t>
            </w:r>
          </w:p>
        </w:tc>
        <w:tc>
          <w:tcPr>
            <w:tcW w:type="dxa" w:w="2160"/>
            <w:vAlign w:val="center"/>
          </w:tcPr>
          <w:p>
            <w:r>
              <w:t>Frontier Model Forum, 2026</w:t>
            </w:r>
          </w:p>
        </w:tc>
        <w:tc>
          <w:tcPr>
            <w:tcW w:type="dxa" w:w="2160"/>
            <w:vAlign w:val="center"/>
          </w:tcPr>
          <w:p>
            <w:hyperlink r:id="rId20">
              <w:r>
                <w:rPr>
                  <w:color w:val="00838A"/>
                  <w:u w:val="single"/>
                </w:rPr>
                <w:t>https://www.frontiermodelforum.org/issue-briefs/emerging-security-practices-for-ai-agents/</w:t>
              </w:r>
            </w:hyperlink>
          </w:p>
        </w:tc>
      </w:tr>
      <w:tr>
        <w:tc>
          <w:tcPr>
            <w:tcW w:type="dxa" w:w="2160"/>
            <w:vAlign w:val="center"/>
          </w:tcPr>
          <w:p>
            <w:r>
              <w:t>Workload identity, short-lived SVIDs, trust domains, and isolation assumption</w:t>
            </w:r>
          </w:p>
        </w:tc>
        <w:tc>
          <w:tcPr>
            <w:tcW w:type="dxa" w:w="2160"/>
            <w:vAlign w:val="center"/>
          </w:tcPr>
          <w:p>
            <w:r>
              <w:t>Primary technical specification/documentation</w:t>
            </w:r>
          </w:p>
        </w:tc>
        <w:tc>
          <w:tcPr>
            <w:tcW w:type="dxa" w:w="2160"/>
            <w:vAlign w:val="center"/>
          </w:tcPr>
          <w:p>
            <w:r>
              <w:t>SPIFFE Project, Concepts and Workload API</w:t>
            </w:r>
          </w:p>
        </w:tc>
        <w:tc>
          <w:tcPr>
            <w:tcW w:type="dxa" w:w="2160"/>
            <w:vAlign w:val="center"/>
          </w:tcPr>
          <w:p>
            <w:hyperlink r:id="rId19">
              <w:r>
                <w:rPr>
                  <w:color w:val="00838A"/>
                  <w:u w:val="single"/>
                </w:rPr>
                <w:t>https://spiffe.io/docs/latest/spiffe/concepts/</w:t>
              </w:r>
            </w:hyperlink>
          </w:p>
        </w:tc>
      </w:tr>
      <w:tr>
        <w:tc>
          <w:tcPr>
            <w:tcW w:type="dxa" w:w="2160"/>
            <w:vAlign w:val="center"/>
          </w:tcPr>
          <w:p>
            <w:r>
              <w:t>Local workload identity endpoint and bootstrap constraints</w:t>
            </w:r>
          </w:p>
        </w:tc>
        <w:tc>
          <w:tcPr>
            <w:tcW w:type="dxa" w:w="2160"/>
            <w:vAlign w:val="center"/>
          </w:tcPr>
          <w:p>
            <w:r>
              <w:t>Primary technical specification</w:t>
            </w:r>
          </w:p>
        </w:tc>
        <w:tc>
          <w:tcPr>
            <w:tcW w:type="dxa" w:w="2160"/>
            <w:vAlign w:val="center"/>
          </w:tcPr>
          <w:p>
            <w:r>
              <w:t>SPIFFE Workload Endpoint</w:t>
            </w:r>
          </w:p>
        </w:tc>
        <w:tc>
          <w:tcPr>
            <w:tcW w:type="dxa" w:w="2160"/>
            <w:vAlign w:val="center"/>
          </w:tcPr>
          <w:p>
            <w:hyperlink r:id="rId25">
              <w:r>
                <w:rPr>
                  <w:color w:val="00838A"/>
                  <w:u w:val="single"/>
                </w:rPr>
                <w:t>https://spiffe.io/docs/latest/spiffe-specs/spiffe_workload_endpoint/</w:t>
              </w:r>
            </w:hyperlink>
          </w:p>
        </w:tc>
      </w:tr>
      <w:tr>
        <w:tc>
          <w:tcPr>
            <w:tcW w:type="dxa" w:w="2160"/>
            <w:vAlign w:val="center"/>
          </w:tcPr>
          <w:p>
            <w:r>
              <w:t>Temporary workload credentials, access analysis, conditions, and boundaries</w:t>
            </w:r>
          </w:p>
        </w:tc>
        <w:tc>
          <w:tcPr>
            <w:tcW w:type="dxa" w:w="2160"/>
            <w:vAlign w:val="center"/>
          </w:tcPr>
          <w:p>
            <w:r>
              <w:t>Primary vendor documentation</w:t>
            </w:r>
          </w:p>
        </w:tc>
        <w:tc>
          <w:tcPr>
            <w:tcW w:type="dxa" w:w="2160"/>
            <w:vAlign w:val="center"/>
          </w:tcPr>
          <w:p>
            <w:r>
              <w:t>AWS IAM security best practices</w:t>
            </w:r>
          </w:p>
        </w:tc>
        <w:tc>
          <w:tcPr>
            <w:tcW w:type="dxa" w:w="2160"/>
            <w:vAlign w:val="center"/>
          </w:tcPr>
          <w:p>
            <w:hyperlink r:id="rId15">
              <w:r>
                <w:rPr>
                  <w:color w:val="00838A"/>
                  <w:u w:val="single"/>
                </w:rPr>
                <w:t>https://docs.aws.amazon.com/IAM/latest/UserGuide/best-practices.html</w:t>
              </w:r>
            </w:hyperlink>
          </w:p>
        </w:tc>
      </w:tr>
      <w:tr>
        <w:tc>
          <w:tcPr>
            <w:tcW w:type="dxa" w:w="2160"/>
            <w:vAlign w:val="center"/>
          </w:tcPr>
          <w:p>
            <w:r>
              <w:t>Short-lived bound service-account tokens and token validation</w:t>
            </w:r>
          </w:p>
        </w:tc>
        <w:tc>
          <w:tcPr>
            <w:tcW w:type="dxa" w:w="2160"/>
            <w:vAlign w:val="center"/>
          </w:tcPr>
          <w:p>
            <w:r>
              <w:t>Primary project documentation</w:t>
            </w:r>
          </w:p>
        </w:tc>
        <w:tc>
          <w:tcPr>
            <w:tcW w:type="dxa" w:w="2160"/>
            <w:vAlign w:val="center"/>
          </w:tcPr>
          <w:p>
            <w:r>
              <w:t>Kubernetes, Service Accounts</w:t>
            </w:r>
          </w:p>
        </w:tc>
        <w:tc>
          <w:tcPr>
            <w:tcW w:type="dxa" w:w="2160"/>
            <w:vAlign w:val="center"/>
          </w:tcPr>
          <w:p>
            <w:hyperlink r:id="rId18">
              <w:r>
                <w:rPr>
                  <w:color w:val="00838A"/>
                  <w:u w:val="single"/>
                </w:rPr>
                <w:t>https://kubernetes.io/docs/concepts/security/service-accounts/</w:t>
              </w:r>
            </w:hyperlink>
          </w:p>
        </w:tc>
      </w:tr>
      <w:tr>
        <w:tc>
          <w:tcPr>
            <w:tcW w:type="dxa" w:w="2160"/>
            <w:vAlign w:val="center"/>
          </w:tcPr>
          <w:p>
            <w:r>
              <w:t>Per-job repository token behavior and lifetime</w:t>
            </w:r>
          </w:p>
        </w:tc>
        <w:tc>
          <w:tcPr>
            <w:tcW w:type="dxa" w:w="2160"/>
            <w:vAlign w:val="center"/>
          </w:tcPr>
          <w:p>
            <w:r>
              <w:t>Primary vendor documentation</w:t>
            </w:r>
          </w:p>
        </w:tc>
        <w:tc>
          <w:tcPr>
            <w:tcW w:type="dxa" w:w="2160"/>
            <w:vAlign w:val="center"/>
          </w:tcPr>
          <w:p>
            <w:r>
              <w:t>GitHub, GITHUB_TOKEN</w:t>
            </w:r>
          </w:p>
        </w:tc>
        <w:tc>
          <w:tcPr>
            <w:tcW w:type="dxa" w:w="2160"/>
            <w:vAlign w:val="center"/>
          </w:tcPr>
          <w:p>
            <w:hyperlink r:id="rId23">
              <w:r>
                <w:rPr>
                  <w:color w:val="00838A"/>
                  <w:u w:val="single"/>
                </w:rPr>
                <w:t>https://docs.github.com/en/actions/concepts/security/github_token</w:t>
              </w:r>
            </w:hyperlink>
          </w:p>
        </w:tc>
      </w:tr>
      <w:tr>
        <w:tc>
          <w:tcPr>
            <w:tcW w:type="dxa" w:w="2160"/>
            <w:vAlign w:val="center"/>
          </w:tcPr>
          <w:p>
            <w:r>
              <w:t>OIDC claims and trust conditions for workflow federation</w:t>
            </w:r>
          </w:p>
        </w:tc>
        <w:tc>
          <w:tcPr>
            <w:tcW w:type="dxa" w:w="2160"/>
            <w:vAlign w:val="center"/>
          </w:tcPr>
          <w:p>
            <w:r>
              <w:t>Primary vendor documentation</w:t>
            </w:r>
          </w:p>
        </w:tc>
        <w:tc>
          <w:tcPr>
            <w:tcW w:type="dxa" w:w="2160"/>
            <w:vAlign w:val="center"/>
          </w:tcPr>
          <w:p>
            <w:r>
              <w:t>GitHub, OpenID Connect reference</w:t>
            </w:r>
          </w:p>
        </w:tc>
        <w:tc>
          <w:tcPr>
            <w:tcW w:type="dxa" w:w="2160"/>
            <w:vAlign w:val="center"/>
          </w:tcPr>
          <w:p>
            <w:hyperlink r:id="rId27">
              <w:r>
                <w:rPr>
                  <w:color w:val="00838A"/>
                  <w:u w:val="single"/>
                </w:rPr>
                <w:t>https://docs.github.com/en/actions/reference/security/oidc</w:t>
              </w:r>
            </w:hyperlink>
          </w:p>
        </w:tc>
      </w:tr>
      <w:tr>
        <w:tc>
          <w:tcPr>
            <w:tcW w:type="dxa" w:w="2160"/>
            <w:vAlign w:val="center"/>
          </w:tcPr>
          <w:p>
            <w:r>
              <w:t>Workload federation and risks of service-account keys</w:t>
            </w:r>
          </w:p>
        </w:tc>
        <w:tc>
          <w:tcPr>
            <w:tcW w:type="dxa" w:w="2160"/>
            <w:vAlign w:val="center"/>
          </w:tcPr>
          <w:p>
            <w:r>
              <w:t>Primary vendor documentation</w:t>
            </w:r>
          </w:p>
        </w:tc>
        <w:tc>
          <w:tcPr>
            <w:tcW w:type="dxa" w:w="2160"/>
            <w:vAlign w:val="center"/>
          </w:tcPr>
          <w:p>
            <w:r>
              <w:t>Google Cloud, Identities for workloads</w:t>
            </w:r>
          </w:p>
        </w:tc>
        <w:tc>
          <w:tcPr>
            <w:tcW w:type="dxa" w:w="2160"/>
            <w:vAlign w:val="center"/>
          </w:tcPr>
          <w:p>
            <w:hyperlink r:id="rId26">
              <w:r>
                <w:rPr>
                  <w:color w:val="00838A"/>
                  <w:u w:val="single"/>
                </w:rPr>
                <w:t>https://docs.cloud.google.com/iam/docs/workload-identities</w:t>
              </w:r>
            </w:hyperlink>
          </w:p>
        </w:tc>
      </w:tr>
      <w:tr>
        <w:tc>
          <w:tcPr>
            <w:tcW w:type="dxa" w:w="2160"/>
            <w:vAlign w:val="center"/>
          </w:tcPr>
          <w:p>
            <w:r>
              <w:t>CI/CD workload identity federation patterns</w:t>
            </w:r>
          </w:p>
        </w:tc>
        <w:tc>
          <w:tcPr>
            <w:tcW w:type="dxa" w:w="2160"/>
            <w:vAlign w:val="center"/>
          </w:tcPr>
          <w:p>
            <w:r>
              <w:t>Primary vendor documentation</w:t>
            </w:r>
          </w:p>
        </w:tc>
        <w:tc>
          <w:tcPr>
            <w:tcW w:type="dxa" w:w="2160"/>
            <w:vAlign w:val="center"/>
          </w:tcPr>
          <w:p>
            <w:r>
              <w:t>Google Cloud, deployment pipelines federation</w:t>
            </w:r>
          </w:p>
        </w:tc>
        <w:tc>
          <w:tcPr>
            <w:tcW w:type="dxa" w:w="2160"/>
            <w:vAlign w:val="center"/>
          </w:tcPr>
          <w:p>
            <w:hyperlink r:id="rId30">
              <w:r>
                <w:rPr>
                  <w:color w:val="00838A"/>
                  <w:u w:val="single"/>
                </w:rPr>
                <w:t>https://docs.cloud.google.com/iam/docs/workload-identity-federation-with-deployment-pipelines</w:t>
              </w:r>
            </w:hyperlink>
          </w:p>
        </w:tc>
      </w:tr>
      <w:tr>
        <w:tc>
          <w:tcPr>
            <w:tcW w:type="dxa" w:w="2160"/>
            <w:vAlign w:val="center"/>
          </w:tcPr>
          <w:p>
            <w:r>
              <w:t>Agent tool least privilege, external authorization, isolation, and limits</w:t>
            </w:r>
          </w:p>
        </w:tc>
        <w:tc>
          <w:tcPr>
            <w:tcW w:type="dxa" w:w="2160"/>
            <w:vAlign w:val="center"/>
          </w:tcPr>
          <w:p>
            <w:r>
              <w:t>Official community guidance</w:t>
            </w:r>
          </w:p>
        </w:tc>
        <w:tc>
          <w:tcPr>
            <w:tcW w:type="dxa" w:w="2160"/>
            <w:vAlign w:val="center"/>
          </w:tcPr>
          <w:p>
            <w:r>
              <w:t>OWASP AI Agent Security Cheat Sheet, 2026</w:t>
            </w:r>
          </w:p>
        </w:tc>
        <w:tc>
          <w:tcPr>
            <w:tcW w:type="dxa" w:w="2160"/>
            <w:vAlign w:val="center"/>
          </w:tcPr>
          <w:p>
            <w:hyperlink r:id="rId16">
              <w:r>
                <w:rPr>
                  <w:color w:val="00838A"/>
                  <w:u w:val="single"/>
                </w:rPr>
                <w:t>https://cheatsheetseries.owasp.org/cheatsheets/AI_Agent_Security_Cheat_Sheet.html</w:t>
              </w:r>
            </w:hyperlink>
          </w:p>
        </w:tc>
      </w:tr>
    </w:tbl>
    <w:p>
      <w:pPr>
        <w:spacing w:before="240"/>
        <w:jc w:val="center"/>
      </w:pPr>
      <w:hyperlink r:id="rId32">
        <w:r>
          <w:rPr>
            <w:color w:val="146658"/>
            <w:u w:val="single"/>
          </w:rPr>
          <w:t>Explore more questions at Ask Anything</w:t>
        </w:r>
      </w:hyperlink>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ASK ANYTHING  /  SECURITY ARCHITECTURE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3243A"/>
      <w:sz w:val="4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A6A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3243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3243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huggingface.co/blog/security-incident-july-2026" TargetMode="External"/><Relationship Id="rId13" Type="http://schemas.openxmlformats.org/officeDocument/2006/relationships/hyperlink" Target="https://doi.org/10.6028/NIST.SP.800-207" TargetMode="External"/><Relationship Id="rId14" Type="http://schemas.openxmlformats.org/officeDocument/2006/relationships/hyperlink" Target="https://doi.org/10.6028/NIST.SP.800-207A" TargetMode="External"/><Relationship Id="rId15" Type="http://schemas.openxmlformats.org/officeDocument/2006/relationships/hyperlink" Target="https://docs.aws.amazon.com/IAM/latest/UserGuide/best-practices.html" TargetMode="External"/><Relationship Id="rId16" Type="http://schemas.openxmlformats.org/officeDocument/2006/relationships/hyperlink" Target="https://cheatsheetseries.owasp.org/cheatsheets/AI_Agent_Security_Cheat_Sheet.html" TargetMode="External"/><Relationship Id="rId17" Type="http://schemas.openxmlformats.org/officeDocument/2006/relationships/hyperlink" Target="https://www.microsoft.com/en-us/security/blog/2026/06/05/securing-ci-cd-in-agentic-world-claude-code-github-action-case/" TargetMode="External"/><Relationship Id="rId18" Type="http://schemas.openxmlformats.org/officeDocument/2006/relationships/hyperlink" Target="https://kubernetes.io/docs/concepts/security/service-accounts/" TargetMode="External"/><Relationship Id="rId19" Type="http://schemas.openxmlformats.org/officeDocument/2006/relationships/hyperlink" Target="https://spiffe.io/docs/latest/spiffe/concepts/" TargetMode="External"/><Relationship Id="rId20" Type="http://schemas.openxmlformats.org/officeDocument/2006/relationships/hyperlink" Target="https://www.frontiermodelforum.org/issue-briefs/emerging-security-practices-for-ai-agents/" TargetMode="External"/><Relationship Id="rId21" Type="http://schemas.openxmlformats.org/officeDocument/2006/relationships/hyperlink" Target="https://arxiv.org/abs/2404.08144" TargetMode="External"/><Relationship Id="rId22" Type="http://schemas.openxmlformats.org/officeDocument/2006/relationships/image" Target="media/image2.png"/><Relationship Id="rId23" Type="http://schemas.openxmlformats.org/officeDocument/2006/relationships/hyperlink" Target="https://docs.github.com/en/actions/concepts/security/github_token" TargetMode="External"/><Relationship Id="rId24" Type="http://schemas.openxmlformats.org/officeDocument/2006/relationships/hyperlink" Target="https://docs.github.com/en/actions/reference/security/secure-use" TargetMode="External"/><Relationship Id="rId25" Type="http://schemas.openxmlformats.org/officeDocument/2006/relationships/hyperlink" Target="https://spiffe.io/docs/latest/spiffe-specs/spiffe_workload_endpoint/" TargetMode="External"/><Relationship Id="rId26" Type="http://schemas.openxmlformats.org/officeDocument/2006/relationships/hyperlink" Target="https://docs.cloud.google.com/iam/docs/workload-identities" TargetMode="External"/><Relationship Id="rId27" Type="http://schemas.openxmlformats.org/officeDocument/2006/relationships/hyperlink" Target="https://docs.github.com/en/actions/reference/security/oidc" TargetMode="External"/><Relationship Id="rId28" Type="http://schemas.openxmlformats.org/officeDocument/2006/relationships/hyperlink" Target="https://spiffe.io/docs/latest/spire-about/spire-concepts/" TargetMode="External"/><Relationship Id="rId29" Type="http://schemas.openxmlformats.org/officeDocument/2006/relationships/hyperlink" Target="https://spiffe.io/docs/latest/spiffe-specs/spiffe_workload_api/" TargetMode="External"/><Relationship Id="rId30" Type="http://schemas.openxmlformats.org/officeDocument/2006/relationships/hyperlink" Target="https://docs.cloud.google.com/iam/docs/workload-identity-federation-with-deployment-pipelines" TargetMode="External"/><Relationship Id="rId31" Type="http://schemas.openxmlformats.org/officeDocument/2006/relationships/hyperlink" Target="https://csrc.nist.gov/projects/risk-management/sp800-53-controls/release-search" TargetMode="External"/><Relationship Id="rId32"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