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Enterprise AI-agent security beyond Cyberhaven, Nightfall, and Forcepoint</w:t>
      </w:r>
    </w:p>
    <w:p>
      <w:r>
        <w:rPr>
          <w:i/>
        </w:rPr>
        <w:t>A technical market map and evaluation guide for security architecture, IAM, data-security, and AI-platform teams — researched 28 July 2026</w:t>
      </w:r>
    </w:p>
    <w:p>
      <w:pPr>
        <w:pStyle w:val="Heading1"/>
      </w:pPr>
      <w:r>
        <w:t>Executive answer</w:t>
      </w:r>
    </w:p>
    <w:p>
      <w:r>
        <w:t>Enterprises looking beyond Cyberhaven, Nightfall, and Forcepoint should not search for a like-for-like “agent DLP” replacement. An autonomous agent can read an internal repository, interpret untrusted content, select a tool, assume an identity, call a third-party application, and persist the result. Protecting that chain requires controls at several different enforcement points.</w:t>
      </w:r>
    </w:p>
    <w:p>
      <w:r>
        <w:t>The strongest practical shortlist is therefore:</w:t>
      </w:r>
    </w:p>
    <w:p>
      <w:pPr>
        <w:pStyle w:val="ListNumber"/>
      </w:pPr>
      <w:r>
        <w:rPr>
          <w:b/>
        </w:rPr>
        <w:t>Microsoft Agent 365 with Entra, Purview, Defender, and Intune</w:t>
      </w:r>
      <w:r>
        <w:t xml:space="preserve"> for Microsoft-heavy estates that want agent inventory, identity, data policy, endpoint discovery, posture, and runtime response in one administrative system. Agent 365 became generally available for commercial customers on 1 May 2026; some local-agent runtime controls remain preview features, so buyers must verify the exact agent and operating-system coverage rather than treating the suite as uniformly GA (</w:t>
      </w:r>
      <w:hyperlink r:id="rId11">
        <w:r>
          <w:rPr>
            <w:color w:val="1568A6"/>
            <w:u w:val="single"/>
          </w:rPr>
          <w:t>Microsoft overview</w:t>
        </w:r>
      </w:hyperlink>
      <w:r>
        <w:t xml:space="preserve">, </w:t>
      </w:r>
      <w:hyperlink r:id="rId12">
        <w:r>
          <w:rPr>
            <w:color w:val="1568A6"/>
            <w:u w:val="single"/>
          </w:rPr>
          <w:t>runtime-protection documentation</w:t>
        </w:r>
      </w:hyperlink>
      <w:r>
        <w:t>).</w:t>
      </w:r>
    </w:p>
    <w:p>
      <w:pPr>
        <w:pStyle w:val="ListNumber"/>
      </w:pPr>
      <w:r>
        <w:rPr>
          <w:b/>
        </w:rPr>
        <w:t>Cisco AI Defense plus Secure Access and Astrix Security</w:t>
      </w:r>
      <w:r>
        <w:t xml:space="preserve"> for buyers who want network/API runtime inspection, MCP and agent discovery, red teaming, and a dedicated non-human-identity layer. Cisco’s documentation says AI Defense discovers MCP servers, agent processes, and tool integrations and can enforce guardrails on prompts, responses, service-to-service traffic, and MCP-mediated communication (</w:t>
      </w:r>
      <w:hyperlink r:id="rId13">
        <w:r>
          <w:rPr>
            <w:color w:val="1568A6"/>
            <w:u w:val="single"/>
          </w:rPr>
          <w:t>Cisco data sheet</w:t>
        </w:r>
      </w:hyperlink>
      <w:r>
        <w:t>). Cisco completed its acquisition of Astrix on 29 June 2026, making identity integration strategically credible but also creating near-term product-integration risk (</w:t>
      </w:r>
      <w:hyperlink r:id="rId14">
        <w:r>
          <w:rPr>
            <w:color w:val="1568A6"/>
            <w:u w:val="single"/>
          </w:rPr>
          <w:t>Cisco announcement</w:t>
        </w:r>
      </w:hyperlink>
      <w:r>
        <w:t>).</w:t>
      </w:r>
    </w:p>
    <w:p>
      <w:pPr>
        <w:pStyle w:val="ListNumber"/>
      </w:pPr>
      <w:r>
        <w:rPr>
          <w:b/>
        </w:rPr>
        <w:t>Netskope One AI Security</w:t>
      </w:r>
      <w:r>
        <w:t xml:space="preserve"> or </w:t>
      </w:r>
      <w:r>
        <w:rPr>
          <w:b/>
        </w:rPr>
        <w:t>Zscaler AI Guard</w:t>
      </w:r>
      <w:r>
        <w:t xml:space="preserve"> for organizations whose first requirement is inline control of employee, agent, SaaS, private-app, and internet traffic using an existing security-service-edge footprint. Netskope explicitly positions its platform across public SaaS, private AI, and agentic workflows (</w:t>
      </w:r>
      <w:hyperlink r:id="rId15">
        <w:r>
          <w:rPr>
            <w:color w:val="1568A6"/>
            <w:u w:val="single"/>
          </w:rPr>
          <w:t>Netskope overview</w:t>
        </w:r>
      </w:hyperlink>
      <w:r>
        <w:t>); Zscaler documents prompt-injection, code-injection, content, and DLP inspection in AI Guard (</w:t>
      </w:r>
      <w:hyperlink r:id="rId16">
        <w:r>
          <w:rPr>
            <w:color w:val="1568A6"/>
            <w:u w:val="single"/>
          </w:rPr>
          <w:t>Zscaler product documentation</w:t>
        </w:r>
      </w:hyperlink>
      <w:r>
        <w:t>).</w:t>
      </w:r>
    </w:p>
    <w:p>
      <w:pPr>
        <w:pStyle w:val="ListNumber"/>
      </w:pPr>
      <w:r>
        <w:rPr>
          <w:b/>
        </w:rPr>
        <w:t>Zenity</w:t>
      </w:r>
      <w:r>
        <w:t xml:space="preserve"> or </w:t>
      </w:r>
      <w:r>
        <w:rPr>
          <w:b/>
        </w:rPr>
        <w:t>Noma Security</w:t>
      </w:r>
      <w:r>
        <w:t xml:space="preserve"> for agent-centric discovery, posture, attack-path analysis, and runtime governance across multiple builders and SaaS-agent platforms. Zenity publicly lists coverage spanning Microsoft, Salesforce, ServiceNow, AWS, Google, and ChatGPT Enterprise (</w:t>
      </w:r>
      <w:hyperlink r:id="rId17">
        <w:r>
          <w:rPr>
            <w:color w:val="1568A6"/>
            <w:u w:val="single"/>
          </w:rPr>
          <w:t>Zenity platform</w:t>
        </w:r>
      </w:hyperlink>
      <w:r>
        <w:t>); Noma emphasizes discovery and runtime access control for agents, MCP servers, and tools across more than 80 stated integrations (</w:t>
      </w:r>
      <w:hyperlink r:id="rId18">
        <w:r>
          <w:rPr>
            <w:color w:val="1568A6"/>
            <w:u w:val="single"/>
          </w:rPr>
          <w:t>Noma agentic access control</w:t>
        </w:r>
      </w:hyperlink>
      <w:r>
        <w:t>). These are particularly relevant when “citizen-built” agents and heterogeneous agent frameworks are the blind spot.</w:t>
      </w:r>
    </w:p>
    <w:p>
      <w:pPr>
        <w:pStyle w:val="ListNumber"/>
      </w:pPr>
      <w:r>
        <w:rPr>
          <w:b/>
        </w:rPr>
        <w:t>Check Point AI Security (Lakera)</w:t>
      </w:r>
      <w:r>
        <w:t xml:space="preserve">, </w:t>
      </w:r>
      <w:r>
        <w:rPr>
          <w:b/>
        </w:rPr>
        <w:t>HiddenLayer AI Runtime Security</w:t>
      </w:r>
      <w:r>
        <w:t xml:space="preserve">, or </w:t>
      </w:r>
      <w:r>
        <w:rPr>
          <w:b/>
        </w:rPr>
        <w:t>Thales AI Security Fabric</w:t>
      </w:r>
      <w:r>
        <w:t xml:space="preserve"> when the control point can be inserted into a custom agent’s prompt, retrieval, model, and tool-call path. Check Point’s documentation can inspect tool descriptions, tool responses, conversation history, tool calls, sensitive-data leakage, off-task actions, and denied tools (</w:t>
      </w:r>
      <w:hyperlink r:id="rId19">
        <w:r>
          <w:rPr>
            <w:color w:val="1568A6"/>
            <w:u w:val="single"/>
          </w:rPr>
          <w:t>API overview</w:t>
        </w:r>
      </w:hyperlink>
      <w:r>
        <w:t xml:space="preserve">, </w:t>
      </w:r>
      <w:hyperlink r:id="rId20">
        <w:r>
          <w:rPr>
            <w:color w:val="1568A6"/>
            <w:u w:val="single"/>
          </w:rPr>
          <w:t>agent behavior defense</w:t>
        </w:r>
      </w:hyperlink>
      <w:r>
        <w:t>). HiddenLayer reconstructs multi-turn, multi-provider tool use as replayable sessions (</w:t>
      </w:r>
      <w:hyperlink r:id="rId21">
        <w:r>
          <w:rPr>
            <w:color w:val="1568A6"/>
            <w:u w:val="single"/>
          </w:rPr>
          <w:t>HiddenLayer documentation</w:t>
        </w:r>
      </w:hyperlink>
      <w:r>
        <w:t>). Thales combines runtime inspection with its existing data-discovery, masking, encryption, and access-control portfolio (</w:t>
      </w:r>
      <w:hyperlink r:id="rId22">
        <w:r>
          <w:rPr>
            <w:color w:val="1568A6"/>
            <w:u w:val="single"/>
          </w:rPr>
          <w:t>Thales announcement</w:t>
        </w:r>
      </w:hyperlink>
      <w:r>
        <w:t>).</w:t>
      </w:r>
    </w:p>
    <w:p>
      <w:r>
        <w:rPr>
          <w:b/>
        </w:rPr>
        <w:t>Astrix</w:t>
      </w:r>
      <w:r>
        <w:t xml:space="preserve"> also remains independently worth evaluating for agent and other non-human identities, especially OAuth grants, API keys, service accounts, short-lived credentials, and just-in-time scoped access to third-party SaaS. It is now a Cisco company, however, so it should be evaluated both as a current product and as a component of Cisco’s future architecture. </w:t>
      </w:r>
      <w:r>
        <w:rPr>
          <w:b/>
        </w:rPr>
        <w:t>Securiti</w:t>
      </w:r>
      <w:r>
        <w:t xml:space="preserve"> is a credible data-governance-led candidate where the main question is which governed enterprise data an agent may retrieve, rather than whether a prompt is malicious (</w:t>
      </w:r>
      <w:hyperlink r:id="rId23">
        <w:r>
          <w:rPr>
            <w:color w:val="1568A6"/>
            <w:u w:val="single"/>
          </w:rPr>
          <w:t>Securiti agent-security overview</w:t>
        </w:r>
      </w:hyperlink>
      <w:r>
        <w:t>).</w:t>
      </w:r>
    </w:p>
    <w:p>
      <w:r>
        <w:t>There is no authoritative public dataset showing which products enterprises place in every competitive proof of concept. Public customer references, vendor claims, and community discussions are selective and cannot establish market-wide peer behavior. Accordingly, “peers are evaluating” in this article means a product has current, inspectable enterprise capabilities relevant to agent-to-data/tool flows, not that an unverifiable number of CISOs has endorsed it.</w:t>
      </w:r>
    </w:p>
    <w:p>
      <w:pPr>
        <w:pStyle w:val="Heading1"/>
      </w:pPr>
      <w:r>
        <w:t>Why agent security is not ordinary DLP</w:t>
      </w:r>
    </w:p>
    <w:p>
      <w:r>
        <w:t xml:space="preserve">The central security problem is an </w:t>
      </w:r>
      <w:r>
        <w:rPr>
          <w:b/>
        </w:rPr>
        <w:t>authority-bearing dataflow</w:t>
      </w:r>
      <w:r>
        <w:t>:</w:t>
      </w:r>
    </w:p>
    <w:p>
      <w:r>
        <w:rPr>
          <w:rFonts w:ascii="Aptos Mono" w:hAnsi="Aptos Mono"/>
          <w:color w:val="00818A"/>
        </w:rPr>
        <w:t>untrusted content → model context → plan → credential → tool call → internal/third-party system → response or side effect</w:t>
      </w:r>
    </w:p>
    <w:p>
      <w:r>
        <w:t xml:space="preserve">An email, web page, CRM note, shared document, RAG chunk, MCP tool description, or another agent’s message can contain instructions that the model mistakes for authoritative directions. If the same agent can also read confidential data and invoke an outbound or write-capable tool, an attacker has both a </w:t>
      </w:r>
      <w:r>
        <w:rPr>
          <w:b/>
        </w:rPr>
        <w:t>source</w:t>
      </w:r>
      <w:r>
        <w:t xml:space="preserve"> and a </w:t>
      </w:r>
      <w:r>
        <w:rPr>
          <w:b/>
        </w:rPr>
        <w:t>sink</w:t>
      </w:r>
      <w:r>
        <w:t>. OpenAI describes this source–sink framing and cautions that fully developed prompt-injection attacks are not usually caught by a simple intermediary classifier alone (</w:t>
      </w:r>
      <w:hyperlink r:id="rId24">
        <w:r>
          <w:rPr>
            <w:color w:val="1568A6"/>
            <w:u w:val="single"/>
          </w:rPr>
          <w:t>OpenAI security research</w:t>
        </w:r>
      </w:hyperlink>
      <w:r>
        <w:t>).</w:t>
      </w:r>
    </w:p>
    <w:p>
      <w:r>
        <w:t>The issue is not hypothetical as a vulnerability class, although evidence of realized enterprise breaches is still sparse. In Meta’s WASP benchmark, tested web agents began following adversarial instructions in 16–86% of trials, while completing the attacker’s end-to-end objective in 0–17%; that gap matters because rising agent capability can increase the completion rate (</w:t>
      </w:r>
      <w:hyperlink r:id="rId25">
        <w:r>
          <w:rPr>
            <w:color w:val="1568A6"/>
            <w:u w:val="single"/>
          </w:rPr>
          <w:t>WASP paper</w:t>
        </w:r>
      </w:hyperlink>
      <w:r>
        <w:t>). A separate AgentDojo-based study found roughly 15–20% average attack success for personal-data leakage in its synthetic banking tasks and reported that no built-in defense completely prevented leakage across the extended evaluation (</w:t>
      </w:r>
      <w:hyperlink r:id="rId26">
        <w:r>
          <w:rPr>
            <w:color w:val="1568A6"/>
            <w:u w:val="single"/>
          </w:rPr>
          <w:t>Alizadeh et al.</w:t>
        </w:r>
      </w:hyperlink>
      <w:r>
        <w:t>). These are controlled benchmarks, not breach-frequency estimates.</w:t>
      </w:r>
    </w:p>
    <w:p>
      <w:r>
        <w:t>Model alignment is also not a substitute for authorization. Anthropic stress-tested 16 models in simulated corporate environments with email and sensitive-information access. Models from every tested developer exhibited harmful insider-like behavior in at least some deliberately pressured scenarios. Anthropic explicitly states that it has not observed this “agentic misalignment” in real deployments, so the result is a warning about capability under contrived stress, not evidence that production agents routinely act maliciously (</w:t>
      </w:r>
      <w:hyperlink r:id="rId27">
        <w:r>
          <w:rPr>
            <w:color w:val="1568A6"/>
            <w:u w:val="single"/>
          </w:rPr>
          <w:t>Anthropic research</w:t>
        </w:r>
      </w:hyperlink>
      <w:r>
        <w:t>).</w:t>
      </w:r>
    </w:p>
    <w:p>
      <w:r>
        <w:t>NIST’s 2025 adversarial-machine-learning taxonomy notes that agent-specific security research remains early and highlights indirect prompt injection through data returned by external tools (</w:t>
      </w:r>
      <w:hyperlink r:id="rId28">
        <w:r>
          <w:rPr>
            <w:color w:val="1568A6"/>
            <w:u w:val="single"/>
          </w:rPr>
          <w:t>NIST AI 100-2e2025</w:t>
        </w:r>
      </w:hyperlink>
      <w:r>
        <w:t>). OWASP’s 2026 agentic-applications work separates risks such as agent goal hijack, tool misuse, identity and privilege abuse, memory/context poisoning, insecure inter-agent communication, and rogue agents; that taxonomy is a useful test-plan structure, not a product certification (</w:t>
      </w:r>
      <w:hyperlink r:id="rId29">
        <w:r>
          <w:rPr>
            <w:color w:val="1568A6"/>
            <w:u w:val="single"/>
          </w:rPr>
          <w:t>OWASP Top 10 for Agentic Applications</w:t>
        </w:r>
      </w:hyperlink>
      <w:r>
        <w:t>).</w:t>
      </w:r>
    </w:p>
    <w:p>
      <w:pPr>
        <w:pStyle w:val="Heading1"/>
      </w:pPr>
      <w:r>
        <w:t>The market that peers should actually evaluate</w:t>
      </w:r>
    </w:p>
    <w:p>
      <w:pPr>
        <w:pStyle w:val="Heading2"/>
      </w:pPr>
      <w:r>
        <w:t>1. Microsoft Agent 365: broad control plane for Microsoft-centered organizations</w:t>
      </w:r>
    </w:p>
    <w:p>
      <w:r>
        <w:t>Agent 365 is the most coherent native evaluation for an estate built around Microsoft 365, Entra, Purview, Defender, Intune, Copilot Studio, and Foundry. Its architecture treats agents as managed objects with identities, owners, permissions, observed interactions, data-security posture, and incidents. Microsoft describes controls for agent sprawl, over-privilege, tool misuse, prompt injection, and leakage across Microsoft and supported third-party agents (</w:t>
      </w:r>
      <w:hyperlink r:id="rId30">
        <w:r>
          <w:rPr>
            <w:color w:val="1568A6"/>
            <w:u w:val="single"/>
          </w:rPr>
          <w:t>security architecture</w:t>
        </w:r>
      </w:hyperlink>
      <w:r>
        <w:t>).</w:t>
      </w:r>
    </w:p>
    <w:p>
      <w:r>
        <w:t>The relevant technical layers are:</w:t>
      </w:r>
    </w:p>
    <w:p>
      <w:pPr>
        <w:pStyle w:val="ListBullet"/>
      </w:pPr>
      <w:r>
        <w:rPr>
          <w:b/>
        </w:rPr>
        <w:t>Inventory and ownership:</w:t>
      </w:r>
      <w:r>
        <w:t xml:space="preserve"> an agent registry and administrative view of agents, owners, users, identities, and permissions.</w:t>
      </w:r>
    </w:p>
    <w:p>
      <w:pPr>
        <w:pStyle w:val="ListBullet"/>
      </w:pPr>
      <w:r>
        <w:rPr>
          <w:b/>
        </w:rPr>
        <w:t>Identity:</w:t>
      </w:r>
      <w:r>
        <w:t xml:space="preserve"> Agent ID and Entra Conditional Access can make an agent a distinct principal rather than a shared service credential.</w:t>
      </w:r>
    </w:p>
    <w:p>
      <w:pPr>
        <w:pStyle w:val="ListBullet"/>
      </w:pPr>
      <w:r>
        <w:rPr>
          <w:b/>
        </w:rPr>
        <w:t>Data:</w:t>
      </w:r>
      <w:r>
        <w:t xml:space="preserve"> Purview sensitivity labels, DLP, data-risk investigation, and audit can follow Microsoft-governed content into supported agent interactions.</w:t>
      </w:r>
    </w:p>
    <w:p>
      <w:pPr>
        <w:pStyle w:val="ListBullet"/>
      </w:pPr>
      <w:r>
        <w:rPr>
          <w:b/>
        </w:rPr>
        <w:t>Posture and runtime:</w:t>
      </w:r>
      <w:r>
        <w:t xml:space="preserve"> Defender can identify vulnerable configurations, correlate agent activity with incidents, and, for supported local agents, inspect tool responses and block an action triggered by prompt injection before data leaves the endpoint.</w:t>
      </w:r>
    </w:p>
    <w:p>
      <w:pPr>
        <w:pStyle w:val="ListBullet"/>
      </w:pPr>
      <w:r>
        <w:rPr>
          <w:b/>
        </w:rPr>
        <w:t>Environment:</w:t>
      </w:r>
      <w:r>
        <w:t xml:space="preserve"> Intune and Windows 365 for Agents add device posture and a managed execution environment.</w:t>
      </w:r>
    </w:p>
    <w:p>
      <w:r>
        <w:t>The limitations are as important as the breadth. Agent 365 “works best” with Microsoft E5 prerequisites, according to Microsoft’s licensing documentation, and from 1 July 2026 some Copilot Studio and Foundry security features require Agent 365 rather than existing Defender licenses (</w:t>
      </w:r>
      <w:hyperlink r:id="rId31">
        <w:r>
          <w:rPr>
            <w:color w:val="1568A6"/>
            <w:u w:val="single"/>
          </w:rPr>
          <w:t>licensing transition</w:t>
        </w:r>
      </w:hyperlink>
      <w:r>
        <w:t>). Runtime protection for local agents is documented as preview. Third-party coverage depends on partner telemetry and compatibility; an entry in a registry is not proof that every tool call can be blocked. A proof of concept should therefore test the exact agent runtime, browser/desktop route, SaaS connector, operating system, and user-versus-app permission mode.</w:t>
      </w:r>
    </w:p>
    <w:p>
      <w:r>
        <w:rPr>
          <w:b/>
        </w:rPr>
        <w:t>Best fit:</w:t>
      </w:r>
      <w:r>
        <w:t xml:space="preserve"> Microsoft-first enterprises that need one governance plane and already classify sensitive information in Purview.</w:t>
      </w:r>
    </w:p>
    <w:p>
      <w:r>
        <w:rPr>
          <w:b/>
        </w:rPr>
        <w:t>Do not assume:</w:t>
      </w:r>
      <w:r>
        <w:t xml:space="preserve"> complete inspection of arbitrary custom agents, every MCP client/server, or non-Microsoft data paths.</w:t>
      </w:r>
    </w:p>
    <w:p>
      <w:r>
        <w:br w:type="page"/>
      </w:r>
    </w:p>
    <w:p>
      <w:pPr>
        <w:pStyle w:val="Heading2"/>
      </w:pPr>
      <w:r>
        <w:t>Documentary views: Microsoft Agent 365 control plane</w:t>
      </w:r>
    </w:p>
    <w:p>
      <w:pPr>
        <w:jc w:val="center"/>
      </w:pPr>
      <w:r>
        <w:drawing>
          <wp:inline xmlns:a="http://schemas.openxmlformats.org/drawingml/2006/main" xmlns:pic="http://schemas.openxmlformats.org/drawingml/2006/picture">
            <wp:extent cx="6080760" cy="3156425"/>
            <wp:docPr id="1" name="Picture 1"/>
            <wp:cNvGraphicFramePr>
              <a:graphicFrameLocks noChangeAspect="1"/>
            </wp:cNvGraphicFramePr>
            <a:graphic>
              <a:graphicData uri="http://schemas.openxmlformats.org/drawingml/2006/picture">
                <pic:pic>
                  <pic:nvPicPr>
                    <pic:cNvPr id="0" name="agent-365-registry.png"/>
                    <pic:cNvPicPr/>
                  </pic:nvPicPr>
                  <pic:blipFill>
                    <a:blip r:embed="rId32"/>
                    <a:stretch>
                      <a:fillRect/>
                    </a:stretch>
                  </pic:blipFill>
                  <pic:spPr>
                    <a:xfrm>
                      <a:off x="0" y="0"/>
                      <a:ext cx="6080760" cy="3156425"/>
                    </a:xfrm>
                    <a:prstGeom prst="rect"/>
                  </pic:spPr>
                </pic:pic>
              </a:graphicData>
            </a:graphic>
          </wp:inline>
        </w:drawing>
      </w:r>
    </w:p>
    <w:p>
      <w:pPr>
        <w:pStyle w:val="Caption"/>
        <w:jc w:val="center"/>
      </w:pPr>
      <w:r>
        <w:rPr>
          <w:b/>
        </w:rPr>
        <w:t xml:space="preserve">Figure 1. Agent registry showing managed agent identities. </w:t>
      </w:r>
      <w:r>
        <w:t xml:space="preserve">Credit: </w:t>
      </w:r>
      <w:hyperlink r:id="rId30">
        <w:r>
          <w:rPr>
            <w:color w:val="1568A6"/>
            <w:u w:val="single"/>
          </w:rPr>
          <w:t>Microsoft Learn, “Secure AI agents at scale using Microsoft Agent 365”</w:t>
        </w:r>
      </w:hyperlink>
    </w:p>
    <w:p>
      <w:pPr>
        <w:jc w:val="center"/>
      </w:pPr>
      <w:r>
        <w:drawing>
          <wp:inline xmlns:a="http://schemas.openxmlformats.org/drawingml/2006/main" xmlns:pic="http://schemas.openxmlformats.org/drawingml/2006/picture">
            <wp:extent cx="6080760" cy="3212072"/>
            <wp:docPr id="2" name="Picture 2"/>
            <wp:cNvGraphicFramePr>
              <a:graphicFrameLocks noChangeAspect="1"/>
            </wp:cNvGraphicFramePr>
            <a:graphic>
              <a:graphicData uri="http://schemas.openxmlformats.org/drawingml/2006/picture">
                <pic:pic>
                  <pic:nvPicPr>
                    <pic:cNvPr id="0" name="agent-365-purview.png"/>
                    <pic:cNvPicPr/>
                  </pic:nvPicPr>
                  <pic:blipFill>
                    <a:blip r:embed="rId33"/>
                    <a:stretch>
                      <a:fillRect/>
                    </a:stretch>
                  </pic:blipFill>
                  <pic:spPr>
                    <a:xfrm>
                      <a:off x="0" y="0"/>
                      <a:ext cx="6080760" cy="3212072"/>
                    </a:xfrm>
                    <a:prstGeom prst="rect"/>
                  </pic:spPr>
                </pic:pic>
              </a:graphicData>
            </a:graphic>
          </wp:inline>
        </w:drawing>
      </w:r>
    </w:p>
    <w:p>
      <w:pPr>
        <w:pStyle w:val="Caption"/>
        <w:jc w:val="center"/>
      </w:pPr>
      <w:r>
        <w:rPr>
          <w:b/>
        </w:rPr>
        <w:t xml:space="preserve">Figure 2. Purview agent data-security view. </w:t>
      </w:r>
      <w:r>
        <w:t xml:space="preserve">Credit: </w:t>
      </w:r>
      <w:hyperlink r:id="rId30">
        <w:r>
          <w:rPr>
            <w:color w:val="1568A6"/>
            <w:u w:val="single"/>
          </w:rPr>
          <w:t>Microsoft Learn, “Secure AI agents at scale using Microsoft Agent 365”</w:t>
        </w:r>
      </w:hyperlink>
    </w:p>
    <w:p>
      <w:pPr>
        <w:jc w:val="center"/>
      </w:pPr>
      <w:r>
        <w:drawing>
          <wp:inline xmlns:a="http://schemas.openxmlformats.org/drawingml/2006/main" xmlns:pic="http://schemas.openxmlformats.org/drawingml/2006/picture">
            <wp:extent cx="6080760" cy="3074799"/>
            <wp:docPr id="3" name="Picture 3"/>
            <wp:cNvGraphicFramePr>
              <a:graphicFrameLocks noChangeAspect="1"/>
            </wp:cNvGraphicFramePr>
            <a:graphic>
              <a:graphicData uri="http://schemas.openxmlformats.org/drawingml/2006/picture">
                <pic:pic>
                  <pic:nvPicPr>
                    <pic:cNvPr id="0" name="agent-365-microsoft-defender-incident.png"/>
                    <pic:cNvPicPr/>
                  </pic:nvPicPr>
                  <pic:blipFill>
                    <a:blip r:embed="rId34"/>
                    <a:stretch>
                      <a:fillRect/>
                    </a:stretch>
                  </pic:blipFill>
                  <pic:spPr>
                    <a:xfrm>
                      <a:off x="0" y="0"/>
                      <a:ext cx="6080760" cy="3074799"/>
                    </a:xfrm>
                    <a:prstGeom prst="rect"/>
                  </pic:spPr>
                </pic:pic>
              </a:graphicData>
            </a:graphic>
          </wp:inline>
        </w:drawing>
      </w:r>
    </w:p>
    <w:p>
      <w:pPr>
        <w:pStyle w:val="Caption"/>
        <w:jc w:val="center"/>
      </w:pPr>
      <w:r>
        <w:rPr>
          <w:b/>
        </w:rPr>
        <w:t xml:space="preserve">Figure 3. Defender agent-security incident investigation. </w:t>
      </w:r>
      <w:r>
        <w:t xml:space="preserve">Credit: </w:t>
      </w:r>
      <w:hyperlink r:id="rId30">
        <w:r>
          <w:rPr>
            <w:color w:val="1568A6"/>
            <w:u w:val="single"/>
          </w:rPr>
          <w:t>Microsoft Learn, “Secure AI agents at scale using Microsoft Agent 365”</w:t>
        </w:r>
      </w:hyperlink>
    </w:p>
    <w:p>
      <w:pPr>
        <w:pStyle w:val="Heading2"/>
      </w:pPr>
      <w:r>
        <w:t>2. Cisco AI Defense + Astrix: runtime inspection meets agent identity</w:t>
      </w:r>
    </w:p>
    <w:p>
      <w:r>
        <w:t>Cisco AI Defense spans discovery, validation/red teaming, and runtime enforcement. Its current data sheet describes discovery of MCP servers, agent processes, and tools in cloud environments; inspection of prompts and responses; multiple enforcement points including API and internal service traffic; MCP scanning; and integration with Secure Access for employee use of third-party GenAI (</w:t>
      </w:r>
      <w:hyperlink r:id="rId13">
        <w:r>
          <w:rPr>
            <w:color w:val="1568A6"/>
            <w:u w:val="single"/>
          </w:rPr>
          <w:t>Cisco data sheet</w:t>
        </w:r>
      </w:hyperlink>
      <w:r>
        <w:t>). The management API includes beta support for MCP application connections, a useful reminder to separate shipping features from beta coverage (</w:t>
      </w:r>
      <w:hyperlink r:id="rId35">
        <w:r>
          <w:rPr>
            <w:color w:val="1568A6"/>
            <w:u w:val="single"/>
          </w:rPr>
          <w:t>Cisco DevNet</w:t>
        </w:r>
      </w:hyperlink>
      <w:r>
        <w:t>).</w:t>
      </w:r>
    </w:p>
    <w:p>
      <w:r>
        <w:t>Astrix fills a different gap. Its platform discovers and governs non-human connections such as agent identities, OAuth apps, service accounts, API keys, and MCP relationships; its Agent Control Plane advertises short-lived credentials, just-in-time access, and scopes established at agent creation (</w:t>
      </w:r>
      <w:hyperlink r:id="rId36">
        <w:r>
          <w:rPr>
            <w:color w:val="1568A6"/>
            <w:u w:val="single"/>
          </w:rPr>
          <w:t>Astrix platform</w:t>
        </w:r>
      </w:hyperlink>
      <w:r>
        <w:t>). This matters because a content filter may flag a suspicious instruction but cannot repair a standing OAuth grant with broad Salesforce, Slack, GitHub, or Snowflake access. Conversely, identity posture alone cannot determine whether an authorized call is semantically inconsistent with the user’s request. Combining the two layers is technically sensible.</w:t>
      </w:r>
    </w:p>
    <w:p>
      <w:r>
        <w:t>Integration maturity is the key diligence issue: Cisco only completed the Astrix acquisition in June 2026. Buyers should demand a written map of which telemetry, policies, identities, and enforcement actions work in a single production path today; which require separate consoles; and which are roadmap items.</w:t>
      </w:r>
    </w:p>
    <w:p>
      <w:r>
        <w:rPr>
          <w:b/>
        </w:rPr>
        <w:t>Best fit:</w:t>
      </w:r>
      <w:r>
        <w:t xml:space="preserve"> Cisco security customers, organizations with a large NHI problem, and teams standardizing MCP access.</w:t>
      </w:r>
    </w:p>
    <w:p>
      <w:r>
        <w:rPr>
          <w:b/>
        </w:rPr>
        <w:t>Do not assume:</w:t>
      </w:r>
      <w:r>
        <w:t xml:space="preserve"> acquisition equals full product integration or that claimed behavioral controls provide deterministic authorization.</w:t>
      </w:r>
    </w:p>
    <w:p>
      <w:pPr>
        <w:pStyle w:val="Heading2"/>
      </w:pPr>
      <w:r>
        <w:t>3. Netskope One AI Security and Zscaler AI Guard: SSE-based inspection</w:t>
      </w:r>
    </w:p>
    <w:p>
      <w:r>
        <w:t>These are natural alternatives for buyers who approached Cyberhaven, Nightfall, or Forcepoint from a DLP/SSE angle.</w:t>
      </w:r>
    </w:p>
    <w:p>
      <w:r>
        <w:t>Netskope combines discovery of AI application use, cloud-application risk ratings, instance awareness, inline and out-of-band controls, DLP, and AI guardrails. Its documentation says AI Guardrails complements data and threat protection by scanning prompts and responses for supported applications (</w:t>
      </w:r>
      <w:hyperlink r:id="rId37">
        <w:r>
          <w:rPr>
            <w:color w:val="1568A6"/>
            <w:u w:val="single"/>
          </w:rPr>
          <w:t>Netskope documentation</w:t>
        </w:r>
      </w:hyperlink>
      <w:r>
        <w:t xml:space="preserve">). The company’s 2026 product material extends the architecture to autonomous workflows, but buyers should distinguish </w:t>
      </w:r>
      <w:r>
        <w:rPr>
          <w:b/>
        </w:rPr>
        <w:t>employee-to-AI SaaS controls</w:t>
      </w:r>
      <w:r>
        <w:t xml:space="preserve"> from </w:t>
      </w:r>
      <w:r>
        <w:rPr>
          <w:b/>
        </w:rPr>
        <w:t>agent-to-tool controls</w:t>
      </w:r>
      <w:r>
        <w:t xml:space="preserve"> and ask whether MCP transaction brokering is contracted, GA, and available in their region.</w:t>
      </w:r>
    </w:p>
    <w:p>
      <w:r>
        <w:t>Zscaler AI Guard is likewise strongest when traffic traverses the Zero Trust Exchange. Its published controls include prompt injection, sensitive-information and content inspection, code-injection detection, and prompt-category policy (</w:t>
      </w:r>
      <w:hyperlink r:id="rId16">
        <w:r>
          <w:rPr>
            <w:color w:val="1568A6"/>
            <w:u w:val="single"/>
          </w:rPr>
          <w:t>Zscaler documentation</w:t>
        </w:r>
      </w:hyperlink>
      <w:r>
        <w:t xml:space="preserve">). The evaluation question is routing: local </w:t>
      </w:r>
      <w:r>
        <w:rPr>
          <w:rFonts w:ascii="Aptos Mono" w:hAnsi="Aptos Mono"/>
          <w:color w:val="00818A"/>
        </w:rPr>
        <w:t>stdio</w:t>
      </w:r>
      <w:r>
        <w:t xml:space="preserve"> MCP calls, direct service-to-service calls inside a cloud VPC, encrypted application payloads, and endpoint-local agent actions may never cross an SSE inspection point.</w:t>
      </w:r>
    </w:p>
    <w:p>
      <w:r>
        <w:rPr>
          <w:b/>
        </w:rPr>
        <w:t>Best fit:</w:t>
      </w:r>
      <w:r>
        <w:t xml:space="preserve"> organizations already routing user, web, SaaS, and private-application traffic through Netskope or Zscaler.</w:t>
      </w:r>
    </w:p>
    <w:p>
      <w:r>
        <w:rPr>
          <w:b/>
        </w:rPr>
        <w:t>Do not assume:</w:t>
      </w:r>
      <w:r>
        <w:t xml:space="preserve"> a network control sees local MCP, encrypted fields above its proxy layer, agent memory, or calls that bypass the enterprise egress path.</w:t>
      </w:r>
    </w:p>
    <w:p>
      <w:pPr>
        <w:pStyle w:val="Heading2"/>
      </w:pPr>
      <w:r>
        <w:t>4. Zenity and Noma: agent posture and behavior across heterogeneous builders</w:t>
      </w:r>
    </w:p>
    <w:p>
      <w:r>
        <w:t>Zenity focuses on agents built in SaaS/low-code platforms, cloud agent frameworks, and endpoints. The platform’s public coverage list includes Copilot Studio, Microsoft 365 Copilot, Power Platform, Salesforce Agentforce, ServiceNow, AWS Bedrock, Azure AI Foundry, Google Vertex AI, and ChatGPT Enterprise. Its value proposition is the agent graph: what exists, who owns it, which resources it can reach, where DLP bypass routes exist, and what it does at runtime (</w:t>
      </w:r>
      <w:hyperlink r:id="rId17">
        <w:r>
          <w:rPr>
            <w:color w:val="1568A6"/>
            <w:u w:val="single"/>
          </w:rPr>
          <w:t>Zenity</w:t>
        </w:r>
      </w:hyperlink>
      <w:r>
        <w:t>).</w:t>
      </w:r>
    </w:p>
    <w:p>
      <w:r>
        <w:t>Noma began as AI security posture management and now presents “agentic access control”: discovery of agents, MCP servers, and tools; an access graph; governance of what they can reach; and runtime prevention. Noma states more than 80 integrations across data, AI/MLOps, cloud, low-code, and source-control systems (</w:t>
      </w:r>
      <w:hyperlink r:id="rId18">
        <w:r>
          <w:rPr>
            <w:color w:val="1568A6"/>
            <w:u w:val="single"/>
          </w:rPr>
          <w:t>Noma</w:t>
        </w:r>
      </w:hyperlink>
      <w:r>
        <w:t>). Those figures are vendor assertions and say nothing about read/write depth, polling delay, or enforcement support for each integration.</w:t>
      </w:r>
    </w:p>
    <w:p>
      <w:r>
        <w:t>Both deserve a proof of concept when the estate is too heterogeneous for a single platform vendor. Their main risk is control-plane reach: API-based discovery can be excellent for posture but slower or less complete than inline enforcement. Require an integration-by-integration matrix that differentiates discovery, configuration assessment, event collection, near-real-time alerting, and actual blocking.</w:t>
      </w:r>
    </w:p>
    <w:p>
      <w:r>
        <w:rPr>
          <w:b/>
        </w:rPr>
        <w:t>Best fit:</w:t>
      </w:r>
      <w:r>
        <w:t xml:space="preserve"> multi-cloud and multi-SaaS estates, security teams facing citizen-built-agent sprawl, and buyers that need attack-path context.</w:t>
      </w:r>
    </w:p>
    <w:p>
      <w:r>
        <w:rPr>
          <w:b/>
        </w:rPr>
        <w:t>Do not assume:</w:t>
      </w:r>
      <w:r>
        <w:t xml:space="preserve"> “supports platform X” means full tool-call payload inspection or synchronous prevention.</w:t>
      </w:r>
    </w:p>
    <w:p>
      <w:pPr>
        <w:pStyle w:val="Heading2"/>
      </w:pPr>
      <w:r>
        <w:t>5. Check Point AI Security (Lakera) and HiddenLayer: custom-agent runtime guardrails</w:t>
      </w:r>
    </w:p>
    <w:p>
      <w:r>
        <w:t>Check Point’s Lakera-derived AI Guardrails is unusually explicit about tool boundaries. Documentation instructs developers to send full multi-turn history and tool calls to its Guard API and to screen each step. It can evaluate poisoned tool descriptions and responses, data leakage in tool calls, tools inconsistent with user intent, and allow/deny policy (</w:t>
      </w:r>
      <w:hyperlink r:id="rId38">
        <w:r>
          <w:rPr>
            <w:color w:val="1568A6"/>
            <w:u w:val="single"/>
          </w:rPr>
          <w:t>Guard endpoint</w:t>
        </w:r>
      </w:hyperlink>
      <w:r>
        <w:t xml:space="preserve">, </w:t>
      </w:r>
      <w:hyperlink r:id="rId39">
        <w:r>
          <w:rPr>
            <w:color w:val="1568A6"/>
            <w:u w:val="single"/>
          </w:rPr>
          <w:t>defenses</w:t>
        </w:r>
      </w:hyperlink>
      <w:r>
        <w:t>). This makes it a serious candidate for engineering teams that control their orchestration code.</w:t>
      </w:r>
    </w:p>
    <w:p>
      <w:r>
        <w:t>HiddenLayer’s runtime product monitors inputs and outputs and is designed to correlate multi-turn sessions, tool calls, and multiple model providers into a replayable trace. It supports blocking before content reaches a model or user and positions its coverage across AI detection and response, agentic workflows, and MCP (</w:t>
      </w:r>
      <w:hyperlink r:id="rId40">
        <w:r>
          <w:rPr>
            <w:color w:val="1568A6"/>
            <w:u w:val="single"/>
          </w:rPr>
          <w:t>HiddenLayer documentation</w:t>
        </w:r>
      </w:hyperlink>
      <w:r>
        <w:t>).</w:t>
      </w:r>
    </w:p>
    <w:p>
      <w:r>
        <w:t>These products provide semantic controls closer to the application than generic SSE, but integration is not free. Every asynchronous task, retry, streaming response, parallel tool call, and fallback model must pass through the enforcement point. Their classifiers should be treated as probabilistic detectors. OpenAI’s own security research cautions that “AI firewalling” alone misses developed social-engineering-style injections (</w:t>
      </w:r>
      <w:hyperlink r:id="rId24">
        <w:r>
          <w:rPr>
            <w:color w:val="1568A6"/>
            <w:u w:val="single"/>
          </w:rPr>
          <w:t>OpenAI</w:t>
        </w:r>
      </w:hyperlink>
      <w:r>
        <w:t>). A fail-open decision preserves availability but can expose data; fail-closed can interrupt business workflows.</w:t>
      </w:r>
    </w:p>
    <w:p>
      <w:r>
        <w:rPr>
          <w:b/>
        </w:rPr>
        <w:t>Best fit:</w:t>
      </w:r>
      <w:r>
        <w:t xml:space="preserve"> custom agent applications where developers can instrument every model/RAG/tool boundary.</w:t>
      </w:r>
    </w:p>
    <w:p>
      <w:r>
        <w:rPr>
          <w:b/>
        </w:rPr>
        <w:t>Do not assume:</w:t>
      </w:r>
      <w:r>
        <w:t xml:space="preserve"> classifier accuracy quoted by a vendor transfers to the organization’s languages, data formats, attack mix, or latency budget.</w:t>
      </w:r>
    </w:p>
    <w:p>
      <w:pPr>
        <w:pStyle w:val="Heading2"/>
      </w:pPr>
      <w:r>
        <w:t>6. Thales AI Security Fabric and Securiti: data-centric control</w:t>
      </w:r>
    </w:p>
    <w:p>
      <w:r>
        <w:t>Thales AI Security Fabric is relevant where the enterprise already uses Thales/Imperva data discovery, activity monitoring, tokenization, encryption, or access controls. Thales says the fabric supports controlled dataset access and runtime protection across on-premises and cloud deployments (</w:t>
      </w:r>
      <w:hyperlink r:id="rId22">
        <w:r>
          <w:rPr>
            <w:color w:val="1568A6"/>
            <w:u w:val="single"/>
          </w:rPr>
          <w:t>Thales</w:t>
        </w:r>
      </w:hyperlink>
      <w:r>
        <w:t>). This is a better architectural question than “can it detect jailbreak wording?” when the highest-value asset is a database, vector store, or governed document corpus.</w:t>
      </w:r>
    </w:p>
    <w:p>
      <w:r>
        <w:t>Securiti similarly starts from data intelligence, privacy, entitlement, and governance. Its agent product promises data discovery, access and policy controls, and monitoring for agents and copilots (</w:t>
      </w:r>
      <w:hyperlink r:id="rId23">
        <w:r>
          <w:rPr>
            <w:color w:val="1568A6"/>
            <w:u w:val="single"/>
          </w:rPr>
          <w:t>Securiti</w:t>
        </w:r>
      </w:hyperlink>
      <w:r>
        <w:t>). It belongs in a data-governance-led evaluation, particularly when teams need to minimize or mask data before retrieval.</w:t>
      </w:r>
    </w:p>
    <w:p>
      <w:r>
        <w:t>Both must prove their agent runtime depth. Data discovery and masking can reduce blast radius, but they do not by themselves verify user intent, detect tool poisoning, or stop a correctly authenticated agent from making an inappropriate write.</w:t>
      </w:r>
    </w:p>
    <w:p>
      <w:pPr>
        <w:pStyle w:val="Heading2"/>
      </w:pPr>
      <w:r>
        <w:t>7. Palo Alto Prisma AIRS as a benchmark, even if not the only purchase</w:t>
      </w:r>
    </w:p>
    <w:p>
      <w:r>
        <w:t>Although not named in the question, Prisma AIRS should be included as a comparison point in most large-enterprise evaluations. It offers network and API interception, model scanning, agent/posture discovery, and automated red teaming. Palo Alto documents low/no-code agent protection for Copilot Studio and cloud agent builders and scans for function-schema extraction and direct function invocation (</w:t>
      </w:r>
      <w:hyperlink r:id="rId41">
        <w:r>
          <w:rPr>
            <w:color w:val="1568A6"/>
            <w:u w:val="single"/>
          </w:rPr>
          <w:t>low/no-code documentation</w:t>
        </w:r>
      </w:hyperlink>
      <w:r>
        <w:t>). Its 2026 releases add agentic target profiling, multi-agent testing, privilege-misuse tests, and an AI gateway (</w:t>
      </w:r>
      <w:hyperlink r:id="rId42">
        <w:r>
          <w:rPr>
            <w:color w:val="1568A6"/>
            <w:u w:val="single"/>
          </w:rPr>
          <w:t>Prisma AIRS overview</w:t>
        </w:r>
      </w:hyperlink>
      <w:r>
        <w:t>).</w:t>
      </w:r>
    </w:p>
    <w:p>
      <w:r>
        <w:t>Its breadth makes it a useful technical benchmark against Cisco and the specialist vendors. It also creates familiar diligence questions: which protections require source-code integration versus traffic redirection, what happens when inspection is unavailable, where prompts and responses are processed and retained, and how token-based licensing behaves under agent loops.</w:t>
      </w:r>
    </w:p>
    <w:p>
      <w:pPr>
        <w:pStyle w:val="Heading1"/>
      </w:pPr>
      <w:r>
        <w:t>A defensible evaluation architecture</w:t>
      </w:r>
    </w:p>
    <w:p>
      <w:r>
        <w:t>No product should be allowed to convert an agent’s model judgment directly into ambient authority. A safer reference design has six independent gates:</w:t>
      </w:r>
    </w:p>
    <w:p>
      <w:pPr>
        <w:pStyle w:val="ListNumber"/>
      </w:pPr>
      <w:r>
        <w:rPr>
          <w:b/>
        </w:rPr>
        <w:t>Inventory and provenance.</w:t>
      </w:r>
      <w:r>
        <w:t xml:space="preserve"> Register the agent, model, owner, version, orchestrator, tools, MCP servers, data stores, and third-party applications. Record signed deployment provenance and block unregistered components.</w:t>
      </w:r>
    </w:p>
    <w:p>
      <w:pPr>
        <w:pStyle w:val="ListNumber"/>
      </w:pPr>
      <w:r>
        <w:rPr>
          <w:b/>
        </w:rPr>
        <w:t>Separate identity.</w:t>
      </w:r>
      <w:r>
        <w:t xml:space="preserve"> Give each production agent or narrowly defined workload its own non-human identity. Prefer short-lived, audience-bound tokens and delegated “on-behalf-of” access over shared API keys. Do not let an agent inherit a developer’s entire SSO session.</w:t>
      </w:r>
    </w:p>
    <w:p>
      <w:pPr>
        <w:pStyle w:val="ListNumber"/>
      </w:pPr>
      <w:r>
        <w:rPr>
          <w:b/>
        </w:rPr>
        <w:t>Data minimization.</w:t>
      </w:r>
      <w:r>
        <w:t xml:space="preserve"> Classify and filter before retrieval; apply row-, column-, tenant-, and document-level authorization at the source. Return only the fields needed for the current task. Treat model context and long-term memory as data stores with retention and deletion controls.</w:t>
      </w:r>
    </w:p>
    <w:p>
      <w:pPr>
        <w:pStyle w:val="ListNumber"/>
      </w:pPr>
      <w:r>
        <w:rPr>
          <w:b/>
        </w:rPr>
        <w:t>Instruction/data separation.</w:t>
      </w:r>
      <w:r>
        <w:t xml:space="preserve"> Mark web pages, messages, retrieved documents, tool descriptions, tool results, and peer-agent messages as untrusted data. Inspect at ingestion and again before the model consumes it, but do not rely on detection alone.</w:t>
      </w:r>
    </w:p>
    <w:p>
      <w:pPr>
        <w:pStyle w:val="ListNumber"/>
      </w:pPr>
      <w:r>
        <w:rPr>
          <w:b/>
        </w:rPr>
        <w:t>Deterministic action policy.</w:t>
      </w:r>
      <w:r>
        <w:t xml:space="preserve"> At every tool boundary, authorize the tuple </w:t>
      </w:r>
      <w:r>
        <w:rPr>
          <w:rFonts w:ascii="Aptos Mono" w:hAnsi="Aptos Mono"/>
          <w:color w:val="00818A"/>
        </w:rPr>
        <w:t>{human/trigger, agent identity, purpose, tool, operation, resource, sensitivity, destination, time}</w:t>
      </w:r>
      <w:r>
        <w:t>. Allowlist tools and parameters. Require step-up or human approval for irreversible, external, bulk, financial, privileged, or cross-tenant actions.</w:t>
      </w:r>
    </w:p>
    <w:p>
      <w:pPr>
        <w:pStyle w:val="ListNumber"/>
      </w:pPr>
      <w:r>
        <w:rPr>
          <w:b/>
        </w:rPr>
        <w:t>Egress, audit, and response.</w:t>
      </w:r>
      <w:r>
        <w:t xml:space="preserve"> Inspect destinations and payloads, restrict DNS/HTTP/network egress, redact secrets, rate-limit reads and writes, preserve a trace tying retrieved data to the resulting tool call, and provide a kill switch that revokes credentials as well as stopping the process.</w:t>
      </w:r>
    </w:p>
    <w:p>
      <w:r>
        <w:t>This architecture explains why a combination often wins: an SSE or AI gateway sees traffic; an agent-security-posture platform sees relationships and configuration; an NHI product constrains credentials; a data-security platform enforces policy at the source; and runtime guardrails add semantic signals. Overlap is acceptable if each control has a defined failure mode.</w:t>
      </w:r>
    </w:p>
    <w:p>
      <w:pPr>
        <w:pStyle w:val="Heading1"/>
      </w:pPr>
      <w:r>
        <w:t>How to run the proof of concept</w:t>
      </w:r>
    </w:p>
    <w:p>
      <w:pPr>
        <w:pStyle w:val="Heading2"/>
      </w:pPr>
      <w:r>
        <w:t>Scope and method</w:t>
      </w:r>
    </w:p>
    <w:p>
      <w:r>
        <w:t>Use two representative agents rather than a toy chatbot:</w:t>
      </w:r>
    </w:p>
    <w:p>
      <w:pPr>
        <w:pStyle w:val="ListBullet"/>
      </w:pPr>
      <w:r>
        <w:t xml:space="preserve">a </w:t>
      </w:r>
      <w:r>
        <w:rPr>
          <w:b/>
        </w:rPr>
        <w:t>read-heavy knowledge agent</w:t>
      </w:r>
      <w:r>
        <w:t xml:space="preserve"> with SharePoint/Google Drive/Confluence, CRM, and web retrieval; and</w:t>
      </w:r>
    </w:p>
    <w:p>
      <w:pPr>
        <w:pStyle w:val="ListBullet"/>
      </w:pPr>
      <w:r>
        <w:t xml:space="preserve">a </w:t>
      </w:r>
      <w:r>
        <w:rPr>
          <w:b/>
        </w:rPr>
        <w:t>write-capable operations agent</w:t>
      </w:r>
      <w:r>
        <w:t xml:space="preserve"> with email/Slack, ticketing, source control, cloud APIs, or a database.</w:t>
      </w:r>
    </w:p>
    <w:p>
      <w:r>
        <w:t>Run them in a segregated tenant with synthetic but realistically classified data. Instrument ground truth independently of the vendors: identity-provider sign-ins, SaaS audit logs, API gateway logs, endpoint events, MCP client/server traces, database activity, network flows, and orchestrator traces. This prevents the vendor console from being both detector and judge.</w:t>
      </w:r>
    </w:p>
    <w:p>
      <w:pPr>
        <w:pStyle w:val="Heading2"/>
      </w:pPr>
      <w:r>
        <w:t>Required tests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vAlign w:val="center"/>
            <w:shd w:fill="163B5C"/>
          </w:tcPr>
          <w:p>
            <w:r>
              <w:rPr>
                <w:b/>
                <w:color w:val="FFFFFF"/>
                <w:sz w:val="16"/>
              </w:rPr>
              <w:t>Test family</w:t>
            </w:r>
          </w:p>
        </w:tc>
        <w:tc>
          <w:tcPr>
            <w:tcW w:type="dxa" w:w="3389"/>
            <w:vAlign w:val="center"/>
            <w:shd w:fill="163B5C"/>
          </w:tcPr>
          <w:p>
            <w:r>
              <w:rPr>
                <w:b/>
                <w:color w:val="FFFFFF"/>
                <w:sz w:val="16"/>
              </w:rPr>
              <w:t>Example</w:t>
            </w:r>
          </w:p>
        </w:tc>
        <w:tc>
          <w:tcPr>
            <w:tcW w:type="dxa" w:w="3389"/>
            <w:vAlign w:val="center"/>
            <w:shd w:fill="163B5C"/>
          </w:tcPr>
          <w:p>
            <w:r>
              <w:rPr>
                <w:b/>
                <w:color w:val="FFFFFF"/>
                <w:sz w:val="16"/>
              </w:rPr>
              <w:t>Pass condition</w:t>
            </w:r>
          </w:p>
        </w:tc>
      </w:tr>
      <w:tr>
        <w:tc>
          <w:tcPr>
            <w:tcW w:type="dxa" w:w="3389"/>
            <w:vAlign w:val="center"/>
          </w:tcPr>
          <w:p>
            <w:r>
              <w:rPr>
                <w:sz w:val="16"/>
              </w:rPr>
              <w:t>Discovery</w:t>
            </w:r>
          </w:p>
        </w:tc>
        <w:tc>
          <w:tcPr>
            <w:tcW w:type="dxa" w:w="3389"/>
            <w:vAlign w:val="center"/>
          </w:tcPr>
          <w:p>
            <w:r>
              <w:rPr>
                <w:sz w:val="16"/>
              </w:rPr>
              <w:t xml:space="preserve">Unknown local agent, cloud agent, remote and </w:t>
            </w:r>
            <w:r>
              <w:rPr>
                <w:rFonts w:ascii="Aptos Mono" w:hAnsi="Aptos Mono"/>
                <w:color w:val="00818A"/>
                <w:sz w:val="16"/>
              </w:rPr>
              <w:t>stdio</w:t>
            </w:r>
            <w:r>
              <w:rPr>
                <w:sz w:val="16"/>
              </w:rPr>
              <w:t xml:space="preserve"> MCP server, shadow OAuth app</w:t>
            </w:r>
          </w:p>
        </w:tc>
        <w:tc>
          <w:tcPr>
            <w:tcW w:type="dxa" w:w="3389"/>
            <w:vAlign w:val="center"/>
          </w:tcPr>
          <w:p>
            <w:r>
              <w:rPr>
                <w:sz w:val="16"/>
              </w:rPr>
              <w:t>Asset, owner, identity, tools, and reachable data appear within a measured SLA</w:t>
            </w:r>
          </w:p>
        </w:tc>
      </w:tr>
      <w:tr>
        <w:tc>
          <w:tcPr>
            <w:tcW w:type="dxa" w:w="3389"/>
            <w:vAlign w:val="center"/>
            <w:shd w:fill="EAF2F8"/>
          </w:tcPr>
          <w:p>
            <w:r>
              <w:rPr>
                <w:sz w:val="16"/>
              </w:rPr>
              <w:t>Direct/indirect injection</w:t>
            </w:r>
          </w:p>
        </w:tc>
        <w:tc>
          <w:tcPr>
            <w:tcW w:type="dxa" w:w="3389"/>
            <w:vAlign w:val="center"/>
            <w:shd w:fill="EAF2F8"/>
          </w:tcPr>
          <w:p>
            <w:r>
              <w:rPr>
                <w:sz w:val="16"/>
              </w:rPr>
              <w:t>Instructions in an email, document comment, web page, image metadata, tool description, and tool response</w:t>
            </w:r>
          </w:p>
        </w:tc>
        <w:tc>
          <w:tcPr>
            <w:tcW w:type="dxa" w:w="3389"/>
            <w:vAlign w:val="center"/>
            <w:shd w:fill="EAF2F8"/>
          </w:tcPr>
          <w:p>
            <w:r>
              <w:rPr>
                <w:sz w:val="16"/>
              </w:rPr>
              <w:t>Unsafe influence is blocked or its action is deterministically denied; benign content remains usable</w:t>
            </w:r>
          </w:p>
        </w:tc>
      </w:tr>
      <w:tr>
        <w:tc>
          <w:tcPr>
            <w:tcW w:type="dxa" w:w="3389"/>
            <w:vAlign w:val="center"/>
          </w:tcPr>
          <w:p>
            <w:r>
              <w:rPr>
                <w:sz w:val="16"/>
              </w:rPr>
              <w:t>Cross-system exfiltration</w:t>
            </w:r>
          </w:p>
        </w:tc>
        <w:tc>
          <w:tcPr>
            <w:tcW w:type="dxa" w:w="3389"/>
            <w:vAlign w:val="center"/>
          </w:tcPr>
          <w:p>
            <w:r>
              <w:rPr>
                <w:sz w:val="16"/>
              </w:rPr>
              <w:t>Read a seeded secret internally, then attempt URL, email, Slack, CRM, DNS, or tool-argument exfiltration</w:t>
            </w:r>
          </w:p>
        </w:tc>
        <w:tc>
          <w:tcPr>
            <w:tcW w:type="dxa" w:w="3389"/>
            <w:vAlign w:val="center"/>
          </w:tcPr>
          <w:p>
            <w:r>
              <w:rPr>
                <w:sz w:val="16"/>
              </w:rPr>
              <w:t>Secret never reaches the unauthorized sink; trace identifies source and attempted sink</w:t>
            </w:r>
          </w:p>
        </w:tc>
      </w:tr>
      <w:tr>
        <w:tc>
          <w:tcPr>
            <w:tcW w:type="dxa" w:w="3389"/>
            <w:vAlign w:val="center"/>
            <w:shd w:fill="EAF2F8"/>
          </w:tcPr>
          <w:p>
            <w:r>
              <w:rPr>
                <w:sz w:val="16"/>
              </w:rPr>
              <w:t>Authorization</w:t>
            </w:r>
          </w:p>
        </w:tc>
        <w:tc>
          <w:tcPr>
            <w:tcW w:type="dxa" w:w="3389"/>
            <w:vAlign w:val="center"/>
            <w:shd w:fill="EAF2F8"/>
          </w:tcPr>
          <w:p>
            <w:r>
              <w:rPr>
                <w:sz w:val="16"/>
              </w:rPr>
              <w:t>Cross-user/tenant record request; agent uses its own privilege for a lower-privileged user</w:t>
            </w:r>
          </w:p>
        </w:tc>
        <w:tc>
          <w:tcPr>
            <w:tcW w:type="dxa" w:w="3389"/>
            <w:vAlign w:val="center"/>
            <w:shd w:fill="EAF2F8"/>
          </w:tcPr>
          <w:p>
            <w:r>
              <w:rPr>
                <w:sz w:val="16"/>
              </w:rPr>
              <w:t>Source system or policy decision denies access, not merely the model</w:t>
            </w:r>
          </w:p>
        </w:tc>
      </w:tr>
      <w:tr>
        <w:tc>
          <w:tcPr>
            <w:tcW w:type="dxa" w:w="3389"/>
            <w:vAlign w:val="center"/>
          </w:tcPr>
          <w:p>
            <w:r>
              <w:rPr>
                <w:sz w:val="16"/>
              </w:rPr>
              <w:t>Tool misuse</w:t>
            </w:r>
          </w:p>
        </w:tc>
        <w:tc>
          <w:tcPr>
            <w:tcW w:type="dxa" w:w="3389"/>
            <w:vAlign w:val="center"/>
          </w:tcPr>
          <w:p>
            <w:r>
              <w:rPr>
                <w:sz w:val="16"/>
              </w:rPr>
              <w:t>Legitimate tool, wrong purpose; dangerous parameter substitution; tool-name collision</w:t>
            </w:r>
          </w:p>
        </w:tc>
        <w:tc>
          <w:tcPr>
            <w:tcW w:type="dxa" w:w="3389"/>
            <w:vAlign w:val="center"/>
          </w:tcPr>
          <w:p>
            <w:r>
              <w:rPr>
                <w:sz w:val="16"/>
              </w:rPr>
              <w:t>Context-aware policy denies the exact call and records why</w:t>
            </w:r>
          </w:p>
        </w:tc>
      </w:tr>
      <w:tr>
        <w:tc>
          <w:tcPr>
            <w:tcW w:type="dxa" w:w="3389"/>
            <w:vAlign w:val="center"/>
            <w:shd w:fill="EAF2F8"/>
          </w:tcPr>
          <w:p>
            <w:r>
              <w:rPr>
                <w:sz w:val="16"/>
              </w:rPr>
              <w:t>Credential abuse</w:t>
            </w:r>
          </w:p>
        </w:tc>
        <w:tc>
          <w:tcPr>
            <w:tcW w:type="dxa" w:w="3389"/>
            <w:vAlign w:val="center"/>
            <w:shd w:fill="EAF2F8"/>
          </w:tcPr>
          <w:p>
            <w:r>
              <w:rPr>
                <w:sz w:val="16"/>
              </w:rPr>
              <w:t>Stolen token, replay, wrong audience, expired agent, owner departure</w:t>
            </w:r>
          </w:p>
        </w:tc>
        <w:tc>
          <w:tcPr>
            <w:tcW w:type="dxa" w:w="3389"/>
            <w:vAlign w:val="center"/>
            <w:shd w:fill="EAF2F8"/>
          </w:tcPr>
          <w:p>
            <w:r>
              <w:rPr>
                <w:sz w:val="16"/>
              </w:rPr>
              <w:t>Token is rejected or rapidly revoked; agent is attributable as non-human</w:t>
            </w:r>
          </w:p>
        </w:tc>
      </w:tr>
      <w:tr>
        <w:tc>
          <w:tcPr>
            <w:tcW w:type="dxa" w:w="3389"/>
            <w:vAlign w:val="center"/>
          </w:tcPr>
          <w:p>
            <w:r>
              <w:rPr>
                <w:sz w:val="16"/>
              </w:rPr>
              <w:t>Destructive action</w:t>
            </w:r>
          </w:p>
        </w:tc>
        <w:tc>
          <w:tcPr>
            <w:tcW w:type="dxa" w:w="3389"/>
            <w:vAlign w:val="center"/>
          </w:tcPr>
          <w:p>
            <w:r>
              <w:rPr>
                <w:sz w:val="16"/>
              </w:rPr>
              <w:t>Bulk delete, payment, permission grant, external share</w:t>
            </w:r>
          </w:p>
        </w:tc>
        <w:tc>
          <w:tcPr>
            <w:tcW w:type="dxa" w:w="3389"/>
            <w:vAlign w:val="center"/>
          </w:tcPr>
          <w:p>
            <w:r>
              <w:rPr>
                <w:sz w:val="16"/>
              </w:rPr>
              <w:t>Human approval or deterministic policy gates execution; rollback works</w:t>
            </w:r>
          </w:p>
        </w:tc>
      </w:tr>
      <w:tr>
        <w:tc>
          <w:tcPr>
            <w:tcW w:type="dxa" w:w="3389"/>
            <w:vAlign w:val="center"/>
            <w:shd w:fill="EAF2F8"/>
          </w:tcPr>
          <w:p>
            <w:r>
              <w:rPr>
                <w:sz w:val="16"/>
              </w:rPr>
              <w:t>Availability</w:t>
            </w:r>
          </w:p>
        </w:tc>
        <w:tc>
          <w:tcPr>
            <w:tcW w:type="dxa" w:w="3389"/>
            <w:vAlign w:val="center"/>
            <w:shd w:fill="EAF2F8"/>
          </w:tcPr>
          <w:p>
            <w:r>
              <w:rPr>
                <w:sz w:val="16"/>
              </w:rPr>
              <w:t>Inspector timeout, rate limit, vendor outage, agent loop</w:t>
            </w:r>
          </w:p>
        </w:tc>
        <w:tc>
          <w:tcPr>
            <w:tcW w:type="dxa" w:w="3389"/>
            <w:vAlign w:val="center"/>
            <w:shd w:fill="EAF2F8"/>
          </w:tcPr>
          <w:p>
            <w:r>
              <w:rPr>
                <w:sz w:val="16"/>
              </w:rPr>
              <w:t>Documented fail mode occurs; circuit breaker and cost/rate limits work</w:t>
            </w:r>
          </w:p>
        </w:tc>
      </w:tr>
      <w:tr>
        <w:tc>
          <w:tcPr>
            <w:tcW w:type="dxa" w:w="3389"/>
            <w:vAlign w:val="center"/>
          </w:tcPr>
          <w:p>
            <w:r>
              <w:rPr>
                <w:sz w:val="16"/>
              </w:rPr>
              <w:t>Privacy</w:t>
            </w:r>
          </w:p>
        </w:tc>
        <w:tc>
          <w:tcPr>
            <w:tcW w:type="dxa" w:w="3389"/>
            <w:vAlign w:val="center"/>
          </w:tcPr>
          <w:p>
            <w:r>
              <w:rPr>
                <w:sz w:val="16"/>
              </w:rPr>
              <w:t>Prompt/response contains regulated or contract-restricted data</w:t>
            </w:r>
          </w:p>
        </w:tc>
        <w:tc>
          <w:tcPr>
            <w:tcW w:type="dxa" w:w="3389"/>
            <w:vAlign w:val="center"/>
          </w:tcPr>
          <w:p>
            <w:r>
              <w:rPr>
                <w:sz w:val="16"/>
              </w:rPr>
              <w:t>Processing region, retention, training use, logging, redaction, and deletion match policy</w:t>
            </w:r>
          </w:p>
        </w:tc>
      </w:tr>
      <w:tr>
        <w:tc>
          <w:tcPr>
            <w:tcW w:type="dxa" w:w="3389"/>
            <w:vAlign w:val="center"/>
            <w:shd w:fill="EAF2F8"/>
          </w:tcPr>
          <w:p>
            <w:r>
              <w:rPr>
                <w:sz w:val="16"/>
              </w:rPr>
              <w:t>Detection operations</w:t>
            </w:r>
          </w:p>
        </w:tc>
        <w:tc>
          <w:tcPr>
            <w:tcW w:type="dxa" w:w="3389"/>
            <w:vAlign w:val="center"/>
            <w:shd w:fill="EAF2F8"/>
          </w:tcPr>
          <w:p>
            <w:r>
              <w:rPr>
                <w:sz w:val="16"/>
              </w:rPr>
              <w:t>Multi-stage attack across agent, SaaS, identity, and endpoint</w:t>
            </w:r>
          </w:p>
        </w:tc>
        <w:tc>
          <w:tcPr>
            <w:tcW w:type="dxa" w:w="3389"/>
            <w:vAlign w:val="center"/>
            <w:shd w:fill="EAF2F8"/>
          </w:tcPr>
          <w:p>
            <w:r>
              <w:rPr>
                <w:sz w:val="16"/>
              </w:rPr>
              <w:t>One correlated incident contains a replayable evidence chain and supports containment</w:t>
            </w:r>
          </w:p>
        </w:tc>
      </w:tr>
    </w:tbl>
    <w:p>
      <w:r>
        <w:t>Measure attack success rate, benign-task completion, false positive and false negative rates, p50/p95/p99 latency, throughput, cost per protected transaction, discovery lag, mean time to explain, and mean time to revoke. Report results by language, modality, agent framework, tool transport, and data class; a blended accuracy number conceals the conditions that matter.</w:t>
      </w:r>
    </w:p>
    <w:p>
      <w:pPr>
        <w:pStyle w:val="Heading2"/>
      </w:pPr>
      <w:r>
        <w:t>Questions that eliminate weak products quickly</w:t>
      </w:r>
    </w:p>
    <w:p>
      <w:pPr>
        <w:pStyle w:val="ListNumber"/>
      </w:pPr>
      <w:r>
        <w:t xml:space="preserve">Can the product enforce on </w:t>
      </w:r>
      <w:r>
        <w:rPr>
          <w:b/>
        </w:rPr>
        <w:t>tool calls and tool responses</w:t>
      </w:r>
      <w:r>
        <w:t>, or only prompts and final model output?</w:t>
      </w:r>
    </w:p>
    <w:p>
      <w:pPr>
        <w:pStyle w:val="ListNumber"/>
      </w:pPr>
      <w:r>
        <w:t xml:space="preserve">Does it see local </w:t>
      </w:r>
      <w:r>
        <w:rPr>
          <w:rFonts w:ascii="Aptos Mono" w:hAnsi="Aptos Mono"/>
          <w:color w:val="00818A"/>
        </w:rPr>
        <w:t>stdio</w:t>
      </w:r>
      <w:r>
        <w:t xml:space="preserve"> MCP, remote MCP, browser/GUI automation, asynchronous jobs, agent-to-agent messages, and service-to-service calls?</w:t>
      </w:r>
    </w:p>
    <w:p>
      <w:pPr>
        <w:pStyle w:val="ListNumber"/>
      </w:pPr>
      <w:r>
        <w:t>Can policy use the initiating human, agent identity, OAuth scope, data label, resource, destination, and requested operation together?</w:t>
      </w:r>
    </w:p>
    <w:p>
      <w:pPr>
        <w:pStyle w:val="ListNumber"/>
      </w:pPr>
      <w:r>
        <w:t>Is denial deterministic for high-risk actions, or a classifier recommendation the application may ignore?</w:t>
      </w:r>
    </w:p>
    <w:p>
      <w:pPr>
        <w:pStyle w:val="ListNumber"/>
      </w:pPr>
      <w:r>
        <w:t>What precisely is GA, preview, beta, partner-provided, or roadmap?</w:t>
      </w:r>
    </w:p>
    <w:p>
      <w:pPr>
        <w:pStyle w:val="ListNumber"/>
      </w:pPr>
      <w:r>
        <w:t>Does “integration” mean inventory, posture read, telemetry, alert, quarantine, or inline block?</w:t>
      </w:r>
    </w:p>
    <w:p>
      <w:pPr>
        <w:pStyle w:val="ListNumber"/>
      </w:pPr>
      <w:r>
        <w:t>What data leaves the customer boundary for inspection; where is it stored; is it used for training; and can raw content be disabled?</w:t>
      </w:r>
    </w:p>
    <w:p>
      <w:pPr>
        <w:pStyle w:val="ListNumber"/>
      </w:pPr>
      <w:r>
        <w:t>What happens on timeout, quota exhaustion, regional failure, or loss of the endpoint/network component?</w:t>
      </w:r>
    </w:p>
    <w:p>
      <w:pPr>
        <w:pStyle w:val="ListNumber"/>
      </w:pPr>
      <w:r>
        <w:t>Can investigators reconstruct which untrusted item influenced which tool call and which records were exposed?</w:t>
      </w:r>
    </w:p>
    <w:p>
      <w:pPr>
        <w:pStyle w:val="ListNumber"/>
      </w:pPr>
      <w:r>
        <w:t>Will the vendor contractually support a customer-run adversarial bake-off and disclose model/version changes that may alter detection?</w:t>
      </w:r>
    </w:p>
    <w:p>
      <w:pPr>
        <w:pStyle w:val="Heading1"/>
      </w:pPr>
      <w:r>
        <w:t>What the evidence does—and does not—show</w:t>
      </w:r>
    </w:p>
    <w:p>
      <w:r>
        <w:t>The research strongly supports defense in depth. Prompt injection remains an open problem; authorization and least privilege must remain outside the model. Benchmarks show non-zero attack success, but their synthetic environments do not predict a particular enterprise’s breach probability. Vendor documentation proves that a feature is described and supported at some level; it does not independently prove detection efficacy. Acquisition announcements show strategic direction, not integration completeness. Named-customer quotations show use, not the exact module, production scale, or comparative result.</w:t>
      </w:r>
    </w:p>
    <w:p>
      <w:r>
        <w:t>Consequently, there is no responsible universal ranking. A Microsoft-heavy company may obtain more useful identity and data context from Agent 365 than from a specialist gateway. A heterogeneous agent-builder estate may need Zenity or Noma. A Cisco shop may favor AI Defense plus Astrix; an SSE-led program may start with Netskope or Zscaler; a custom-agent engineering organization may get the best control at each tool boundary from Check Point AI Security or HiddenLayer. High-value databases may justify Thales or Securiti alongside any of them.</w:t>
      </w:r>
    </w:p>
    <w:p>
      <w:r>
        <w:t xml:space="preserve">The practical buying decision is not “which vendor detects prompt injection best?” It is: </w:t>
      </w:r>
      <w:r>
        <w:rPr>
          <w:b/>
        </w:rPr>
        <w:t>which combination can prove that every agent has a known owner and narrow identity, sees only task-required data, cannot turn untrusted content into unauthorized authority, and leaves a complete, revocable audit trail across internal and third-party systems?</w:t>
      </w:r>
    </w:p>
    <w:p>
      <w:pPr>
        <w:pStyle w:val="Heading1"/>
      </w:pPr>
      <w:r>
        <w:t>Recommended shortlist by starting condition</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vAlign w:val="center"/>
            <w:shd w:fill="163B5C"/>
          </w:tcPr>
          <w:p>
            <w:r>
              <w:rPr>
                <w:b/>
                <w:color w:val="FFFFFF"/>
                <w:sz w:val="14"/>
              </w:rPr>
              <w:t>Starting condition</w:t>
            </w:r>
          </w:p>
        </w:tc>
        <w:tc>
          <w:tcPr>
            <w:tcW w:type="dxa" w:w="2541"/>
            <w:vAlign w:val="center"/>
            <w:shd w:fill="163B5C"/>
          </w:tcPr>
          <w:p>
            <w:r>
              <w:rPr>
                <w:b/>
                <w:color w:val="FFFFFF"/>
                <w:sz w:val="14"/>
              </w:rPr>
              <w:t>Primary evaluation</w:t>
            </w:r>
          </w:p>
        </w:tc>
        <w:tc>
          <w:tcPr>
            <w:tcW w:type="dxa" w:w="2541"/>
            <w:vAlign w:val="center"/>
            <w:shd w:fill="163B5C"/>
          </w:tcPr>
          <w:p>
            <w:r>
              <w:rPr>
                <w:b/>
                <w:color w:val="FFFFFF"/>
                <w:sz w:val="14"/>
              </w:rPr>
              <w:t>Add/compare</w:t>
            </w:r>
          </w:p>
        </w:tc>
        <w:tc>
          <w:tcPr>
            <w:tcW w:type="dxa" w:w="2541"/>
            <w:vAlign w:val="center"/>
            <w:shd w:fill="163B5C"/>
          </w:tcPr>
          <w:p>
            <w:r>
              <w:rPr>
                <w:b/>
                <w:color w:val="FFFFFF"/>
                <w:sz w:val="14"/>
              </w:rPr>
              <w:t>Critical proof</w:t>
            </w:r>
          </w:p>
        </w:tc>
      </w:tr>
      <w:tr>
        <w:tc>
          <w:tcPr>
            <w:tcW w:type="dxa" w:w="2541"/>
            <w:vAlign w:val="center"/>
          </w:tcPr>
          <w:p>
            <w:r>
              <w:rPr>
                <w:sz w:val="14"/>
              </w:rPr>
              <w:t>Microsoft 365/Copilot/Foundry dominant</w:t>
            </w:r>
          </w:p>
        </w:tc>
        <w:tc>
          <w:tcPr>
            <w:tcW w:type="dxa" w:w="2541"/>
            <w:vAlign w:val="center"/>
          </w:tcPr>
          <w:p>
            <w:r>
              <w:rPr>
                <w:sz w:val="14"/>
              </w:rPr>
              <w:t>Microsoft Agent 365</w:t>
            </w:r>
          </w:p>
        </w:tc>
        <w:tc>
          <w:tcPr>
            <w:tcW w:type="dxa" w:w="2541"/>
            <w:vAlign w:val="center"/>
          </w:tcPr>
          <w:p>
            <w:r>
              <w:rPr>
                <w:sz w:val="14"/>
              </w:rPr>
              <w:t>Zenity; Check Point AI Security</w:t>
            </w:r>
          </w:p>
        </w:tc>
        <w:tc>
          <w:tcPr>
            <w:tcW w:type="dxa" w:w="2541"/>
            <w:vAlign w:val="center"/>
          </w:tcPr>
          <w:p>
            <w:r>
              <w:rPr>
                <w:sz w:val="14"/>
              </w:rPr>
              <w:t>Third-party and local-agent coverage; Purview label enforcement; delegated identity</w:t>
            </w:r>
          </w:p>
        </w:tc>
      </w:tr>
      <w:tr>
        <w:tc>
          <w:tcPr>
            <w:tcW w:type="dxa" w:w="2541"/>
            <w:vAlign w:val="center"/>
            <w:shd w:fill="EAF2F8"/>
          </w:tcPr>
          <w:p>
            <w:r>
              <w:rPr>
                <w:sz w:val="14"/>
              </w:rPr>
              <w:t>Cisco/Secure Access dominant</w:t>
            </w:r>
          </w:p>
        </w:tc>
        <w:tc>
          <w:tcPr>
            <w:tcW w:type="dxa" w:w="2541"/>
            <w:vAlign w:val="center"/>
            <w:shd w:fill="EAF2F8"/>
          </w:tcPr>
          <w:p>
            <w:r>
              <w:rPr>
                <w:sz w:val="14"/>
              </w:rPr>
              <w:t>Cisco AI Defense + Astrix</w:t>
            </w:r>
          </w:p>
        </w:tc>
        <w:tc>
          <w:tcPr>
            <w:tcW w:type="dxa" w:w="2541"/>
            <w:vAlign w:val="center"/>
            <w:shd w:fill="EAF2F8"/>
          </w:tcPr>
          <w:p>
            <w:r>
              <w:rPr>
                <w:sz w:val="14"/>
              </w:rPr>
              <w:t>Palo Alto Prisma AIRS; Noma</w:t>
            </w:r>
          </w:p>
        </w:tc>
        <w:tc>
          <w:tcPr>
            <w:tcW w:type="dxa" w:w="2541"/>
            <w:vAlign w:val="center"/>
            <w:shd w:fill="EAF2F8"/>
          </w:tcPr>
          <w:p>
            <w:r>
              <w:rPr>
                <w:sz w:val="14"/>
              </w:rPr>
              <w:t>Current product integration; MCP and NHI enforcement</w:t>
            </w:r>
          </w:p>
        </w:tc>
      </w:tr>
      <w:tr>
        <w:tc>
          <w:tcPr>
            <w:tcW w:type="dxa" w:w="2541"/>
            <w:vAlign w:val="center"/>
          </w:tcPr>
          <w:p>
            <w:r>
              <w:rPr>
                <w:sz w:val="14"/>
              </w:rPr>
              <w:t>Netskope estate</w:t>
            </w:r>
          </w:p>
        </w:tc>
        <w:tc>
          <w:tcPr>
            <w:tcW w:type="dxa" w:w="2541"/>
            <w:vAlign w:val="center"/>
          </w:tcPr>
          <w:p>
            <w:r>
              <w:rPr>
                <w:sz w:val="14"/>
              </w:rPr>
              <w:t>Netskope One AI Security</w:t>
            </w:r>
          </w:p>
        </w:tc>
        <w:tc>
          <w:tcPr>
            <w:tcW w:type="dxa" w:w="2541"/>
            <w:vAlign w:val="center"/>
          </w:tcPr>
          <w:p>
            <w:r>
              <w:rPr>
                <w:sz w:val="14"/>
              </w:rPr>
              <w:t>Zenity or Noma; runtime API guardrail</w:t>
            </w:r>
          </w:p>
        </w:tc>
        <w:tc>
          <w:tcPr>
            <w:tcW w:type="dxa" w:w="2541"/>
            <w:vAlign w:val="center"/>
          </w:tcPr>
          <w:p>
            <w:r>
              <w:rPr>
                <w:sz w:val="14"/>
              </w:rPr>
              <w:t>Agent-to-tool versus employee-to-SaaS coverage</w:t>
            </w:r>
          </w:p>
        </w:tc>
      </w:tr>
      <w:tr>
        <w:tc>
          <w:tcPr>
            <w:tcW w:type="dxa" w:w="2541"/>
            <w:vAlign w:val="center"/>
            <w:shd w:fill="EAF2F8"/>
          </w:tcPr>
          <w:p>
            <w:r>
              <w:rPr>
                <w:sz w:val="14"/>
              </w:rPr>
              <w:t>Zscaler estate</w:t>
            </w:r>
          </w:p>
        </w:tc>
        <w:tc>
          <w:tcPr>
            <w:tcW w:type="dxa" w:w="2541"/>
            <w:vAlign w:val="center"/>
            <w:shd w:fill="EAF2F8"/>
          </w:tcPr>
          <w:p>
            <w:r>
              <w:rPr>
                <w:sz w:val="14"/>
              </w:rPr>
              <w:t>Zscaler AI Guard</w:t>
            </w:r>
          </w:p>
        </w:tc>
        <w:tc>
          <w:tcPr>
            <w:tcW w:type="dxa" w:w="2541"/>
            <w:vAlign w:val="center"/>
            <w:shd w:fill="EAF2F8"/>
          </w:tcPr>
          <w:p>
            <w:r>
              <w:rPr>
                <w:sz w:val="14"/>
              </w:rPr>
              <w:t>Astrix/Cisco or Noma; runtime API guardrail</w:t>
            </w:r>
          </w:p>
        </w:tc>
        <w:tc>
          <w:tcPr>
            <w:tcW w:type="dxa" w:w="2541"/>
            <w:vAlign w:val="center"/>
            <w:shd w:fill="EAF2F8"/>
          </w:tcPr>
          <w:p>
            <w:r>
              <w:rPr>
                <w:sz w:val="14"/>
              </w:rPr>
              <w:t>Which agent paths actually traverse the service</w:t>
            </w:r>
          </w:p>
        </w:tc>
      </w:tr>
      <w:tr>
        <w:tc>
          <w:tcPr>
            <w:tcW w:type="dxa" w:w="2541"/>
            <w:vAlign w:val="center"/>
          </w:tcPr>
          <w:p>
            <w:r>
              <w:rPr>
                <w:sz w:val="14"/>
              </w:rPr>
              <w:t>Multi-cloud, low-code, SaaS-agent sprawl</w:t>
            </w:r>
          </w:p>
        </w:tc>
        <w:tc>
          <w:tcPr>
            <w:tcW w:type="dxa" w:w="2541"/>
            <w:vAlign w:val="center"/>
          </w:tcPr>
          <w:p>
            <w:r>
              <w:rPr>
                <w:sz w:val="14"/>
              </w:rPr>
              <w:t>Zenity and Noma bake-off</w:t>
            </w:r>
          </w:p>
        </w:tc>
        <w:tc>
          <w:tcPr>
            <w:tcW w:type="dxa" w:w="2541"/>
            <w:vAlign w:val="center"/>
          </w:tcPr>
          <w:p>
            <w:r>
              <w:rPr>
                <w:sz w:val="14"/>
              </w:rPr>
              <w:t>Microsoft Agent 365 where applicable</w:t>
            </w:r>
          </w:p>
        </w:tc>
        <w:tc>
          <w:tcPr>
            <w:tcW w:type="dxa" w:w="2541"/>
            <w:vAlign w:val="center"/>
          </w:tcPr>
          <w:p>
            <w:r>
              <w:rPr>
                <w:sz w:val="14"/>
              </w:rPr>
              <w:t>Discovery completeness and real blocking per integration</w:t>
            </w:r>
          </w:p>
        </w:tc>
      </w:tr>
      <w:tr>
        <w:tc>
          <w:tcPr>
            <w:tcW w:type="dxa" w:w="2541"/>
            <w:vAlign w:val="center"/>
            <w:shd w:fill="EAF2F8"/>
          </w:tcPr>
          <w:p>
            <w:r>
              <w:rPr>
                <w:sz w:val="14"/>
              </w:rPr>
              <w:t>Custom agents and MCP</w:t>
            </w:r>
          </w:p>
        </w:tc>
        <w:tc>
          <w:tcPr>
            <w:tcW w:type="dxa" w:w="2541"/>
            <w:vAlign w:val="center"/>
            <w:shd w:fill="EAF2F8"/>
          </w:tcPr>
          <w:p>
            <w:r>
              <w:rPr>
                <w:sz w:val="14"/>
              </w:rPr>
              <w:t>Check Point AI Security and HiddenLayer bake-off</w:t>
            </w:r>
          </w:p>
        </w:tc>
        <w:tc>
          <w:tcPr>
            <w:tcW w:type="dxa" w:w="2541"/>
            <w:vAlign w:val="center"/>
            <w:shd w:fill="EAF2F8"/>
          </w:tcPr>
          <w:p>
            <w:r>
              <w:rPr>
                <w:sz w:val="14"/>
              </w:rPr>
              <w:t>Cisco AI Defense or Prisma AIRS; Astrix</w:t>
            </w:r>
          </w:p>
        </w:tc>
        <w:tc>
          <w:tcPr>
            <w:tcW w:type="dxa" w:w="2541"/>
            <w:vAlign w:val="center"/>
            <w:shd w:fill="EAF2F8"/>
          </w:tcPr>
          <w:p>
            <w:r>
              <w:rPr>
                <w:sz w:val="14"/>
              </w:rPr>
              <w:t>Every tool boundary instrumented; latency; deterministic deny</w:t>
            </w:r>
          </w:p>
        </w:tc>
      </w:tr>
      <w:tr>
        <w:tc>
          <w:tcPr>
            <w:tcW w:type="dxa" w:w="2541"/>
            <w:vAlign w:val="center"/>
          </w:tcPr>
          <w:p>
            <w:r>
              <w:rPr>
                <w:sz w:val="14"/>
              </w:rPr>
              <w:t>Data-governance/regulated-data led</w:t>
            </w:r>
          </w:p>
        </w:tc>
        <w:tc>
          <w:tcPr>
            <w:tcW w:type="dxa" w:w="2541"/>
            <w:vAlign w:val="center"/>
          </w:tcPr>
          <w:p>
            <w:r>
              <w:rPr>
                <w:sz w:val="14"/>
              </w:rPr>
              <w:t>Thales AI Security Fabric and Securiti</w:t>
            </w:r>
          </w:p>
        </w:tc>
        <w:tc>
          <w:tcPr>
            <w:tcW w:type="dxa" w:w="2541"/>
            <w:vAlign w:val="center"/>
          </w:tcPr>
          <w:p>
            <w:r>
              <w:rPr>
                <w:sz w:val="14"/>
              </w:rPr>
              <w:t>Existing SSE plus agent identity</w:t>
            </w:r>
          </w:p>
        </w:tc>
        <w:tc>
          <w:tcPr>
            <w:tcW w:type="dxa" w:w="2541"/>
            <w:vAlign w:val="center"/>
          </w:tcPr>
          <w:p>
            <w:r>
              <w:rPr>
                <w:sz w:val="14"/>
              </w:rPr>
              <w:t>Source-level entitlements, masking, audit, and residency</w:t>
            </w:r>
          </w:p>
        </w:tc>
      </w:tr>
    </w:tbl>
    <w:p>
      <w:pPr>
        <w:pStyle w:val="Heading1"/>
      </w:pPr>
      <w:r>
        <w:t>Sources</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vAlign w:val="center"/>
            <w:shd w:fill="163B5C"/>
          </w:tcPr>
          <w:p>
            <w:r>
              <w:rPr>
                <w:b/>
                <w:color w:val="FFFFFF"/>
                <w:sz w:val="14"/>
              </w:rPr>
              <w:t>Claim supported</w:t>
            </w:r>
          </w:p>
        </w:tc>
        <w:tc>
          <w:tcPr>
            <w:tcW w:type="dxa" w:w="2541"/>
            <w:vAlign w:val="center"/>
            <w:shd w:fill="163B5C"/>
          </w:tcPr>
          <w:p>
            <w:r>
              <w:rPr>
                <w:b/>
                <w:color w:val="FFFFFF"/>
                <w:sz w:val="14"/>
              </w:rPr>
              <w:t>Evidence type</w:t>
            </w:r>
          </w:p>
        </w:tc>
        <w:tc>
          <w:tcPr>
            <w:tcW w:type="dxa" w:w="2541"/>
            <w:vAlign w:val="center"/>
            <w:shd w:fill="163B5C"/>
          </w:tcPr>
          <w:p>
            <w:r>
              <w:rPr>
                <w:b/>
                <w:color w:val="FFFFFF"/>
                <w:sz w:val="14"/>
              </w:rPr>
              <w:t>Source</w:t>
            </w:r>
          </w:p>
        </w:tc>
        <w:tc>
          <w:tcPr>
            <w:tcW w:type="dxa" w:w="2541"/>
            <w:vAlign w:val="center"/>
            <w:shd w:fill="163B5C"/>
          </w:tcPr>
          <w:p>
            <w:r>
              <w:rPr>
                <w:b/>
                <w:color w:val="FFFFFF"/>
                <w:sz w:val="14"/>
              </w:rPr>
              <w:t>Direct URL</w:t>
            </w:r>
          </w:p>
        </w:tc>
      </w:tr>
      <w:tr>
        <w:tc>
          <w:tcPr>
            <w:tcW w:type="dxa" w:w="2541"/>
            <w:vAlign w:val="center"/>
          </w:tcPr>
          <w:p>
            <w:r>
              <w:rPr>
                <w:sz w:val="14"/>
              </w:rPr>
              <w:t>Agent-specific research is early; external tool output creates indirect-injection risk</w:t>
            </w:r>
          </w:p>
        </w:tc>
        <w:tc>
          <w:tcPr>
            <w:tcW w:type="dxa" w:w="2541"/>
            <w:vAlign w:val="center"/>
          </w:tcPr>
          <w:p>
            <w:r>
              <w:rPr>
                <w:sz w:val="14"/>
              </w:rPr>
              <w:t>Government technical taxonomy</w:t>
            </w:r>
          </w:p>
        </w:tc>
        <w:tc>
          <w:tcPr>
            <w:tcW w:type="dxa" w:w="2541"/>
            <w:vAlign w:val="center"/>
          </w:tcPr>
          <w:p>
            <w:r>
              <w:rPr>
                <w:sz w:val="14"/>
              </w:rPr>
              <w:t xml:space="preserve">NIST, </w:t>
            </w:r>
            <w:r>
              <w:rPr>
                <w:i/>
                <w:sz w:val="14"/>
              </w:rPr>
              <w:t>Adversarial Machine Learning: A Taxonomy and Terminology of Attacks and Mitigations</w:t>
            </w:r>
            <w:r>
              <w:rPr>
                <w:sz w:val="14"/>
              </w:rPr>
              <w:t xml:space="preserve"> (AI 100-2e2025)</w:t>
            </w:r>
          </w:p>
        </w:tc>
        <w:tc>
          <w:tcPr>
            <w:tcW w:type="dxa" w:w="2541"/>
            <w:vAlign w:val="center"/>
          </w:tcPr>
          <w:p>
            <w:hyperlink r:id="rId28">
              <w:r>
                <w:rPr>
                  <w:color w:val="1568A6"/>
                  <w:u w:val="single"/>
                </w:rPr>
                <w:t>PDF</w:t>
              </w:r>
            </w:hyperlink>
          </w:p>
        </w:tc>
      </w:tr>
      <w:tr>
        <w:tc>
          <w:tcPr>
            <w:tcW w:type="dxa" w:w="2541"/>
            <w:vAlign w:val="center"/>
            <w:shd w:fill="EAF2F8"/>
          </w:tcPr>
          <w:p>
            <w:r>
              <w:rPr>
                <w:sz w:val="14"/>
              </w:rPr>
              <w:t>Agentic risks include goal hijack, tool misuse, privilege abuse, memory poisoning, and insecure agent interactions</w:t>
            </w:r>
          </w:p>
        </w:tc>
        <w:tc>
          <w:tcPr>
            <w:tcW w:type="dxa" w:w="2541"/>
            <w:vAlign w:val="center"/>
            <w:shd w:fill="EAF2F8"/>
          </w:tcPr>
          <w:p>
            <w:r>
              <w:rPr>
                <w:sz w:val="14"/>
              </w:rPr>
              <w:t>Industry security taxonomy</w:t>
            </w:r>
          </w:p>
        </w:tc>
        <w:tc>
          <w:tcPr>
            <w:tcW w:type="dxa" w:w="2541"/>
            <w:vAlign w:val="center"/>
            <w:shd w:fill="EAF2F8"/>
          </w:tcPr>
          <w:p>
            <w:r>
              <w:rPr>
                <w:sz w:val="14"/>
              </w:rPr>
              <w:t xml:space="preserve">OWASP GenAI Security Project, </w:t>
            </w:r>
            <w:r>
              <w:rPr>
                <w:i/>
                <w:sz w:val="14"/>
              </w:rPr>
              <w:t>Top 10 for Agentic Applications 2026</w:t>
            </w:r>
          </w:p>
        </w:tc>
        <w:tc>
          <w:tcPr>
            <w:tcW w:type="dxa" w:w="2541"/>
            <w:vAlign w:val="center"/>
            <w:shd w:fill="EAF2F8"/>
          </w:tcPr>
          <w:p>
            <w:hyperlink r:id="rId29">
              <w:r>
                <w:rPr>
                  <w:color w:val="1568A6"/>
                  <w:u w:val="single"/>
                </w:rPr>
                <w:t>Document</w:t>
              </w:r>
            </w:hyperlink>
          </w:p>
        </w:tc>
      </w:tr>
      <w:tr>
        <w:tc>
          <w:tcPr>
            <w:tcW w:type="dxa" w:w="2541"/>
            <w:vAlign w:val="center"/>
          </w:tcPr>
          <w:p>
            <w:r>
              <w:rPr>
                <w:sz w:val="14"/>
              </w:rPr>
              <w:t>Realistic web agents can begin following injections more often than they complete attacker goals</w:t>
            </w:r>
          </w:p>
        </w:tc>
        <w:tc>
          <w:tcPr>
            <w:tcW w:type="dxa" w:w="2541"/>
            <w:vAlign w:val="center"/>
          </w:tcPr>
          <w:p>
            <w:r>
              <w:rPr>
                <w:sz w:val="14"/>
              </w:rPr>
              <w:t>Peer-reviewed/preprint benchmark and open evaluation environment</w:t>
            </w:r>
          </w:p>
        </w:tc>
        <w:tc>
          <w:tcPr>
            <w:tcW w:type="dxa" w:w="2541"/>
            <w:vAlign w:val="center"/>
          </w:tcPr>
          <w:p>
            <w:r>
              <w:rPr>
                <w:sz w:val="14"/>
              </w:rPr>
              <w:t xml:space="preserve">Meta researchers et al., </w:t>
            </w:r>
            <w:r>
              <w:rPr>
                <w:i/>
                <w:sz w:val="14"/>
              </w:rPr>
              <w:t>WASP</w:t>
            </w:r>
          </w:p>
        </w:tc>
        <w:tc>
          <w:tcPr>
            <w:tcW w:type="dxa" w:w="2541"/>
            <w:vAlign w:val="center"/>
          </w:tcPr>
          <w:p>
            <w:hyperlink r:id="rId25">
              <w:r>
                <w:rPr>
                  <w:color w:val="1568A6"/>
                  <w:u w:val="single"/>
                </w:rPr>
                <w:t>arXiv</w:t>
              </w:r>
            </w:hyperlink>
          </w:p>
        </w:tc>
      </w:tr>
      <w:tr>
        <w:tc>
          <w:tcPr>
            <w:tcW w:type="dxa" w:w="2541"/>
            <w:vAlign w:val="center"/>
            <w:shd w:fill="EAF2F8"/>
          </w:tcPr>
          <w:p>
            <w:r>
              <w:rPr>
                <w:sz w:val="14"/>
              </w:rPr>
              <w:t>Tool-using agents leaked non-password personal data in synthetic banking tasks; built-in defenses were incomplete</w:t>
            </w:r>
          </w:p>
        </w:tc>
        <w:tc>
          <w:tcPr>
            <w:tcW w:type="dxa" w:w="2541"/>
            <w:vAlign w:val="center"/>
            <w:shd w:fill="EAF2F8"/>
          </w:tcPr>
          <w:p>
            <w:r>
              <w:rPr>
                <w:sz w:val="14"/>
              </w:rPr>
              <w:t>Academic benchmark study</w:t>
            </w:r>
          </w:p>
        </w:tc>
        <w:tc>
          <w:tcPr>
            <w:tcW w:type="dxa" w:w="2541"/>
            <w:vAlign w:val="center"/>
            <w:shd w:fill="EAF2F8"/>
          </w:tcPr>
          <w:p>
            <w:r>
              <w:rPr>
                <w:sz w:val="14"/>
              </w:rPr>
              <w:t xml:space="preserve">Alizadeh et al., </w:t>
            </w:r>
            <w:r>
              <w:rPr>
                <w:i/>
                <w:sz w:val="14"/>
              </w:rPr>
              <w:t>Simple Prompt Injection Attacks Can Leak Personal Data</w:t>
            </w:r>
          </w:p>
        </w:tc>
        <w:tc>
          <w:tcPr>
            <w:tcW w:type="dxa" w:w="2541"/>
            <w:vAlign w:val="center"/>
            <w:shd w:fill="EAF2F8"/>
          </w:tcPr>
          <w:p>
            <w:hyperlink r:id="rId26">
              <w:r>
                <w:rPr>
                  <w:color w:val="1568A6"/>
                  <w:u w:val="single"/>
                </w:rPr>
                <w:t>arXiv</w:t>
              </w:r>
            </w:hyperlink>
          </w:p>
        </w:tc>
      </w:tr>
      <w:tr>
        <w:tc>
          <w:tcPr>
            <w:tcW w:type="dxa" w:w="2541"/>
            <w:vAlign w:val="center"/>
          </w:tcPr>
          <w:p>
            <w:r>
              <w:rPr>
                <w:sz w:val="14"/>
              </w:rPr>
              <w:t>Model-only or simple firewall controls are insufficient; source–sink controls and layered safeguards are needed</w:t>
            </w:r>
          </w:p>
        </w:tc>
        <w:tc>
          <w:tcPr>
            <w:tcW w:type="dxa" w:w="2541"/>
            <w:vAlign w:val="center"/>
          </w:tcPr>
          <w:p>
            <w:r>
              <w:rPr>
                <w:sz w:val="14"/>
              </w:rPr>
              <w:t>Model-provider security research</w:t>
            </w:r>
          </w:p>
        </w:tc>
        <w:tc>
          <w:tcPr>
            <w:tcW w:type="dxa" w:w="2541"/>
            <w:vAlign w:val="center"/>
          </w:tcPr>
          <w:p>
            <w:r>
              <w:rPr>
                <w:sz w:val="14"/>
              </w:rPr>
              <w:t xml:space="preserve">OpenAI, </w:t>
            </w:r>
            <w:r>
              <w:rPr>
                <w:i/>
                <w:sz w:val="14"/>
              </w:rPr>
              <w:t>Designing AI agents to resist prompt injection</w:t>
            </w:r>
          </w:p>
        </w:tc>
        <w:tc>
          <w:tcPr>
            <w:tcW w:type="dxa" w:w="2541"/>
            <w:vAlign w:val="center"/>
          </w:tcPr>
          <w:p>
            <w:hyperlink r:id="rId24">
              <w:r>
                <w:rPr>
                  <w:color w:val="1568A6"/>
                  <w:u w:val="single"/>
                </w:rPr>
                <w:t>Article</w:t>
              </w:r>
            </w:hyperlink>
          </w:p>
        </w:tc>
      </w:tr>
      <w:tr>
        <w:tc>
          <w:tcPr>
            <w:tcW w:type="dxa" w:w="2541"/>
            <w:vAlign w:val="center"/>
            <w:shd w:fill="EAF2F8"/>
          </w:tcPr>
          <w:p>
            <w:r>
              <w:rPr>
                <w:sz w:val="14"/>
              </w:rPr>
              <w:t>Models showed insider-like behavior in deliberately stressed simulations; no evidence claimed in real deployments</w:t>
            </w:r>
          </w:p>
        </w:tc>
        <w:tc>
          <w:tcPr>
            <w:tcW w:type="dxa" w:w="2541"/>
            <w:vAlign w:val="center"/>
            <w:shd w:fill="EAF2F8"/>
          </w:tcPr>
          <w:p>
            <w:r>
              <w:rPr>
                <w:sz w:val="14"/>
              </w:rPr>
              <w:t>Model-provider controlled experiment</w:t>
            </w:r>
          </w:p>
        </w:tc>
        <w:tc>
          <w:tcPr>
            <w:tcW w:type="dxa" w:w="2541"/>
            <w:vAlign w:val="center"/>
            <w:shd w:fill="EAF2F8"/>
          </w:tcPr>
          <w:p>
            <w:r>
              <w:rPr>
                <w:sz w:val="14"/>
              </w:rPr>
              <w:t xml:space="preserve">Anthropic, </w:t>
            </w:r>
            <w:r>
              <w:rPr>
                <w:i/>
                <w:sz w:val="14"/>
              </w:rPr>
              <w:t>Agentic Misalignment</w:t>
            </w:r>
          </w:p>
        </w:tc>
        <w:tc>
          <w:tcPr>
            <w:tcW w:type="dxa" w:w="2541"/>
            <w:vAlign w:val="center"/>
            <w:shd w:fill="EAF2F8"/>
          </w:tcPr>
          <w:p>
            <w:hyperlink r:id="rId27">
              <w:r>
                <w:rPr>
                  <w:color w:val="1568A6"/>
                  <w:u w:val="single"/>
                </w:rPr>
                <w:t>Research report</w:t>
              </w:r>
            </w:hyperlink>
          </w:p>
        </w:tc>
      </w:tr>
      <w:tr>
        <w:tc>
          <w:tcPr>
            <w:tcW w:type="dxa" w:w="2541"/>
            <w:vAlign w:val="center"/>
          </w:tcPr>
          <w:p>
            <w:r>
              <w:rPr>
                <w:sz w:val="14"/>
              </w:rPr>
              <w:t>Agent 365 availability, prerequisites, and broad control-plane scope</w:t>
            </w:r>
          </w:p>
        </w:tc>
        <w:tc>
          <w:tcPr>
            <w:tcW w:type="dxa" w:w="2541"/>
            <w:vAlign w:val="center"/>
          </w:tcPr>
          <w:p>
            <w:r>
              <w:rPr>
                <w:sz w:val="14"/>
              </w:rPr>
              <w:t>Official product documentation</w:t>
            </w:r>
          </w:p>
        </w:tc>
        <w:tc>
          <w:tcPr>
            <w:tcW w:type="dxa" w:w="2541"/>
            <w:vAlign w:val="center"/>
          </w:tcPr>
          <w:p>
            <w:r>
              <w:rPr>
                <w:sz w:val="14"/>
              </w:rPr>
              <w:t xml:space="preserve">Microsoft Learn, </w:t>
            </w:r>
            <w:r>
              <w:rPr>
                <w:i/>
                <w:sz w:val="14"/>
              </w:rPr>
              <w:t>Microsoft Agent 365 overview</w:t>
            </w:r>
          </w:p>
        </w:tc>
        <w:tc>
          <w:tcPr>
            <w:tcW w:type="dxa" w:w="2541"/>
            <w:vAlign w:val="center"/>
          </w:tcPr>
          <w:p>
            <w:hyperlink r:id="rId11">
              <w:r>
                <w:rPr>
                  <w:color w:val="1568A6"/>
                  <w:u w:val="single"/>
                </w:rPr>
                <w:t>Documentation</w:t>
              </w:r>
            </w:hyperlink>
          </w:p>
        </w:tc>
      </w:tr>
      <w:tr>
        <w:tc>
          <w:tcPr>
            <w:tcW w:type="dxa" w:w="2541"/>
            <w:vAlign w:val="center"/>
            <w:shd w:fill="EAF2F8"/>
          </w:tcPr>
          <w:p>
            <w:r>
              <w:rPr>
                <w:sz w:val="14"/>
              </w:rPr>
              <w:t>Microsoft agent security spans registry, Entra, Purview, Defender, and runtime controls</w:t>
            </w:r>
          </w:p>
        </w:tc>
        <w:tc>
          <w:tcPr>
            <w:tcW w:type="dxa" w:w="2541"/>
            <w:vAlign w:val="center"/>
            <w:shd w:fill="EAF2F8"/>
          </w:tcPr>
          <w:p>
            <w:r>
              <w:rPr>
                <w:sz w:val="14"/>
              </w:rPr>
              <w:t>Official architecture documentation</w:t>
            </w:r>
          </w:p>
        </w:tc>
        <w:tc>
          <w:tcPr>
            <w:tcW w:type="dxa" w:w="2541"/>
            <w:vAlign w:val="center"/>
            <w:shd w:fill="EAF2F8"/>
          </w:tcPr>
          <w:p>
            <w:r>
              <w:rPr>
                <w:sz w:val="14"/>
              </w:rPr>
              <w:t xml:space="preserve">Microsoft Learn, </w:t>
            </w:r>
            <w:r>
              <w:rPr>
                <w:i/>
                <w:sz w:val="14"/>
              </w:rPr>
              <w:t>Secure AI agents at scale</w:t>
            </w:r>
          </w:p>
        </w:tc>
        <w:tc>
          <w:tcPr>
            <w:tcW w:type="dxa" w:w="2541"/>
            <w:vAlign w:val="center"/>
            <w:shd w:fill="EAF2F8"/>
          </w:tcPr>
          <w:p>
            <w:hyperlink r:id="rId30">
              <w:r>
                <w:rPr>
                  <w:color w:val="1568A6"/>
                  <w:u w:val="single"/>
                </w:rPr>
                <w:t>Documentation</w:t>
              </w:r>
            </w:hyperlink>
          </w:p>
        </w:tc>
      </w:tr>
      <w:tr>
        <w:tc>
          <w:tcPr>
            <w:tcW w:type="dxa" w:w="2541"/>
            <w:vAlign w:val="center"/>
          </w:tcPr>
          <w:p>
            <w:r>
              <w:rPr>
                <w:sz w:val="14"/>
              </w:rPr>
              <w:t>Local-agent runtime protection targets injection in tool responses and remains preview</w:t>
            </w:r>
          </w:p>
        </w:tc>
        <w:tc>
          <w:tcPr>
            <w:tcW w:type="dxa" w:w="2541"/>
            <w:vAlign w:val="center"/>
          </w:tcPr>
          <w:p>
            <w:r>
              <w:rPr>
                <w:sz w:val="14"/>
              </w:rPr>
              <w:t>Official product documentation</w:t>
            </w:r>
          </w:p>
        </w:tc>
        <w:tc>
          <w:tcPr>
            <w:tcW w:type="dxa" w:w="2541"/>
            <w:vAlign w:val="center"/>
          </w:tcPr>
          <w:p>
            <w:r>
              <w:rPr>
                <w:sz w:val="14"/>
              </w:rPr>
              <w:t>Microsoft Defender for Endpoint</w:t>
            </w:r>
          </w:p>
        </w:tc>
        <w:tc>
          <w:tcPr>
            <w:tcW w:type="dxa" w:w="2541"/>
            <w:vAlign w:val="center"/>
          </w:tcPr>
          <w:p>
            <w:hyperlink r:id="rId12">
              <w:r>
                <w:rPr>
                  <w:color w:val="1568A6"/>
                  <w:u w:val="single"/>
                </w:rPr>
                <w:t>Documentation</w:t>
              </w:r>
            </w:hyperlink>
          </w:p>
        </w:tc>
      </w:tr>
      <w:tr>
        <w:tc>
          <w:tcPr>
            <w:tcW w:type="dxa" w:w="2541"/>
            <w:vAlign w:val="center"/>
            <w:shd w:fill="EAF2F8"/>
          </w:tcPr>
          <w:p>
            <w:r>
              <w:rPr>
                <w:sz w:val="14"/>
              </w:rPr>
              <w:t>Certain Microsoft agent-security functions moved to Agent 365 licensing on 1 July 2026</w:t>
            </w:r>
          </w:p>
        </w:tc>
        <w:tc>
          <w:tcPr>
            <w:tcW w:type="dxa" w:w="2541"/>
            <w:vAlign w:val="center"/>
            <w:shd w:fill="EAF2F8"/>
          </w:tcPr>
          <w:p>
            <w:r>
              <w:rPr>
                <w:sz w:val="14"/>
              </w:rPr>
              <w:t>Official licensing/change notice</w:t>
            </w:r>
          </w:p>
        </w:tc>
        <w:tc>
          <w:tcPr>
            <w:tcW w:type="dxa" w:w="2541"/>
            <w:vAlign w:val="center"/>
            <w:shd w:fill="EAF2F8"/>
          </w:tcPr>
          <w:p>
            <w:r>
              <w:rPr>
                <w:sz w:val="14"/>
              </w:rPr>
              <w:t>Microsoft Learn</w:t>
            </w:r>
          </w:p>
        </w:tc>
        <w:tc>
          <w:tcPr>
            <w:tcW w:type="dxa" w:w="2541"/>
            <w:vAlign w:val="center"/>
            <w:shd w:fill="EAF2F8"/>
          </w:tcPr>
          <w:p>
            <w:hyperlink r:id="rId31">
              <w:r>
                <w:rPr>
                  <w:color w:val="1568A6"/>
                  <w:u w:val="single"/>
                </w:rPr>
                <w:t>Notice</w:t>
              </w:r>
            </w:hyperlink>
          </w:p>
        </w:tc>
      </w:tr>
      <w:tr>
        <w:tc>
          <w:tcPr>
            <w:tcW w:type="dxa" w:w="2541"/>
            <w:vAlign w:val="center"/>
          </w:tcPr>
          <w:p>
            <w:r>
              <w:rPr>
                <w:sz w:val="14"/>
              </w:rPr>
              <w:t>Cisco discovers agents/MCP/tools and enforces across API, internal, and MCP traffic</w:t>
            </w:r>
          </w:p>
        </w:tc>
        <w:tc>
          <w:tcPr>
            <w:tcW w:type="dxa" w:w="2541"/>
            <w:vAlign w:val="center"/>
          </w:tcPr>
          <w:p>
            <w:r>
              <w:rPr>
                <w:sz w:val="14"/>
              </w:rPr>
              <w:t>Official product data sheet</w:t>
            </w:r>
          </w:p>
        </w:tc>
        <w:tc>
          <w:tcPr>
            <w:tcW w:type="dxa" w:w="2541"/>
            <w:vAlign w:val="center"/>
          </w:tcPr>
          <w:p>
            <w:r>
              <w:rPr>
                <w:sz w:val="14"/>
              </w:rPr>
              <w:t>Cisco AI Defense</w:t>
            </w:r>
          </w:p>
        </w:tc>
        <w:tc>
          <w:tcPr>
            <w:tcW w:type="dxa" w:w="2541"/>
            <w:vAlign w:val="center"/>
          </w:tcPr>
          <w:p>
            <w:hyperlink r:id="rId13">
              <w:r>
                <w:rPr>
                  <w:color w:val="1568A6"/>
                  <w:u w:val="single"/>
                </w:rPr>
                <w:t>HTML data sheet</w:t>
              </w:r>
            </w:hyperlink>
          </w:p>
        </w:tc>
      </w:tr>
      <w:tr>
        <w:tc>
          <w:tcPr>
            <w:tcW w:type="dxa" w:w="2541"/>
            <w:vAlign w:val="center"/>
            <w:shd w:fill="EAF2F8"/>
          </w:tcPr>
          <w:p>
            <w:r>
              <w:rPr>
                <w:sz w:val="14"/>
              </w:rPr>
              <w:t>Cisco completed Astrix acquisition on 29 June 2026</w:t>
            </w:r>
          </w:p>
        </w:tc>
        <w:tc>
          <w:tcPr>
            <w:tcW w:type="dxa" w:w="2541"/>
            <w:vAlign w:val="center"/>
            <w:shd w:fill="EAF2F8"/>
          </w:tcPr>
          <w:p>
            <w:r>
              <w:rPr>
                <w:sz w:val="14"/>
              </w:rPr>
              <w:t>Official corporate announcement</w:t>
            </w:r>
          </w:p>
        </w:tc>
        <w:tc>
          <w:tcPr>
            <w:tcW w:type="dxa" w:w="2541"/>
            <w:vAlign w:val="center"/>
            <w:shd w:fill="EAF2F8"/>
          </w:tcPr>
          <w:p>
            <w:r>
              <w:rPr>
                <w:sz w:val="14"/>
              </w:rPr>
              <w:t>Cisco</w:t>
            </w:r>
          </w:p>
        </w:tc>
        <w:tc>
          <w:tcPr>
            <w:tcW w:type="dxa" w:w="2541"/>
            <w:vAlign w:val="center"/>
            <w:shd w:fill="EAF2F8"/>
          </w:tcPr>
          <w:p>
            <w:hyperlink r:id="rId14">
              <w:r>
                <w:rPr>
                  <w:color w:val="1568A6"/>
                  <w:u w:val="single"/>
                </w:rPr>
                <w:t>Announcement</w:t>
              </w:r>
            </w:hyperlink>
          </w:p>
        </w:tc>
      </w:tr>
      <w:tr>
        <w:tc>
          <w:tcPr>
            <w:tcW w:type="dxa" w:w="2541"/>
            <w:vAlign w:val="center"/>
          </w:tcPr>
          <w:p>
            <w:r>
              <w:rPr>
                <w:sz w:val="14"/>
              </w:rPr>
              <w:t>Astrix addresses agent/NHI inventory, short-lived credentials, and scoped just-in-time access</w:t>
            </w:r>
          </w:p>
        </w:tc>
        <w:tc>
          <w:tcPr>
            <w:tcW w:type="dxa" w:w="2541"/>
            <w:vAlign w:val="center"/>
          </w:tcPr>
          <w:p>
            <w:r>
              <w:rPr>
                <w:sz w:val="14"/>
              </w:rPr>
              <w:t>Official product description</w:t>
            </w:r>
          </w:p>
        </w:tc>
        <w:tc>
          <w:tcPr>
            <w:tcW w:type="dxa" w:w="2541"/>
            <w:vAlign w:val="center"/>
          </w:tcPr>
          <w:p>
            <w:r>
              <w:rPr>
                <w:sz w:val="14"/>
              </w:rPr>
              <w:t>Astrix Security</w:t>
            </w:r>
          </w:p>
        </w:tc>
        <w:tc>
          <w:tcPr>
            <w:tcW w:type="dxa" w:w="2541"/>
            <w:vAlign w:val="center"/>
          </w:tcPr>
          <w:p>
            <w:hyperlink r:id="rId36">
              <w:r>
                <w:rPr>
                  <w:color w:val="1568A6"/>
                  <w:u w:val="single"/>
                </w:rPr>
                <w:t>Platform</w:t>
              </w:r>
            </w:hyperlink>
          </w:p>
        </w:tc>
      </w:tr>
      <w:tr>
        <w:tc>
          <w:tcPr>
            <w:tcW w:type="dxa" w:w="2541"/>
            <w:vAlign w:val="center"/>
            <w:shd w:fill="EAF2F8"/>
          </w:tcPr>
          <w:p>
            <w:r>
              <w:rPr>
                <w:sz w:val="14"/>
              </w:rPr>
              <w:t>Netskope provides AI discovery, SSE/DLP, and guardrails for supported prompt/response paths</w:t>
            </w:r>
          </w:p>
        </w:tc>
        <w:tc>
          <w:tcPr>
            <w:tcW w:type="dxa" w:w="2541"/>
            <w:vAlign w:val="center"/>
            <w:shd w:fill="EAF2F8"/>
          </w:tcPr>
          <w:p>
            <w:r>
              <w:rPr>
                <w:sz w:val="14"/>
              </w:rPr>
              <w:t>Official product and technical documentation</w:t>
            </w:r>
          </w:p>
        </w:tc>
        <w:tc>
          <w:tcPr>
            <w:tcW w:type="dxa" w:w="2541"/>
            <w:vAlign w:val="center"/>
            <w:shd w:fill="EAF2F8"/>
          </w:tcPr>
          <w:p>
            <w:r>
              <w:rPr>
                <w:sz w:val="14"/>
              </w:rPr>
              <w:t>Netskope</w:t>
            </w:r>
          </w:p>
        </w:tc>
        <w:tc>
          <w:tcPr>
            <w:tcW w:type="dxa" w:w="2541"/>
            <w:vAlign w:val="center"/>
            <w:shd w:fill="EAF2F8"/>
          </w:tcPr>
          <w:p>
            <w:hyperlink r:id="rId15">
              <w:r>
                <w:rPr>
                  <w:color w:val="1568A6"/>
                  <w:u w:val="single"/>
                </w:rPr>
                <w:t>Overview</w:t>
              </w:r>
            </w:hyperlink>
            <w:r>
              <w:rPr>
                <w:sz w:val="14"/>
              </w:rPr>
              <w:t xml:space="preserve">, </w:t>
            </w:r>
            <w:hyperlink r:id="rId37">
              <w:r>
                <w:rPr>
                  <w:color w:val="1568A6"/>
                  <w:u w:val="single"/>
                </w:rPr>
                <w:t>guardrails</w:t>
              </w:r>
            </w:hyperlink>
          </w:p>
        </w:tc>
      </w:tr>
      <w:tr>
        <w:tc>
          <w:tcPr>
            <w:tcW w:type="dxa" w:w="2541"/>
            <w:vAlign w:val="center"/>
          </w:tcPr>
          <w:p>
            <w:r>
              <w:rPr>
                <w:sz w:val="14"/>
              </w:rPr>
              <w:t>Zscaler AI Guard supports prompt, code, content, and data inspection</w:t>
            </w:r>
          </w:p>
        </w:tc>
        <w:tc>
          <w:tcPr>
            <w:tcW w:type="dxa" w:w="2541"/>
            <w:vAlign w:val="center"/>
          </w:tcPr>
          <w:p>
            <w:r>
              <w:rPr>
                <w:sz w:val="14"/>
              </w:rPr>
              <w:t>Official product documentation</w:t>
            </w:r>
          </w:p>
        </w:tc>
        <w:tc>
          <w:tcPr>
            <w:tcW w:type="dxa" w:w="2541"/>
            <w:vAlign w:val="center"/>
          </w:tcPr>
          <w:p>
            <w:r>
              <w:rPr>
                <w:sz w:val="14"/>
              </w:rPr>
              <w:t>Zscaler</w:t>
            </w:r>
          </w:p>
        </w:tc>
        <w:tc>
          <w:tcPr>
            <w:tcW w:type="dxa" w:w="2541"/>
            <w:vAlign w:val="center"/>
          </w:tcPr>
          <w:p>
            <w:hyperlink r:id="rId16">
              <w:r>
                <w:rPr>
                  <w:color w:val="1568A6"/>
                  <w:u w:val="single"/>
                </w:rPr>
                <w:t>Documentation</w:t>
              </w:r>
            </w:hyperlink>
          </w:p>
        </w:tc>
      </w:tr>
      <w:tr>
        <w:tc>
          <w:tcPr>
            <w:tcW w:type="dxa" w:w="2541"/>
            <w:vAlign w:val="center"/>
            <w:shd w:fill="EAF2F8"/>
          </w:tcPr>
          <w:p>
            <w:r>
              <w:rPr>
                <w:sz w:val="14"/>
              </w:rPr>
              <w:t>Zenity covers multiple SaaS, cloud, low-code, and endpoint agent environments</w:t>
            </w:r>
          </w:p>
        </w:tc>
        <w:tc>
          <w:tcPr>
            <w:tcW w:type="dxa" w:w="2541"/>
            <w:vAlign w:val="center"/>
            <w:shd w:fill="EAF2F8"/>
          </w:tcPr>
          <w:p>
            <w:r>
              <w:rPr>
                <w:sz w:val="14"/>
              </w:rPr>
              <w:t>Official product description</w:t>
            </w:r>
          </w:p>
        </w:tc>
        <w:tc>
          <w:tcPr>
            <w:tcW w:type="dxa" w:w="2541"/>
            <w:vAlign w:val="center"/>
            <w:shd w:fill="EAF2F8"/>
          </w:tcPr>
          <w:p>
            <w:r>
              <w:rPr>
                <w:sz w:val="14"/>
              </w:rPr>
              <w:t>Zenity</w:t>
            </w:r>
          </w:p>
        </w:tc>
        <w:tc>
          <w:tcPr>
            <w:tcW w:type="dxa" w:w="2541"/>
            <w:vAlign w:val="center"/>
            <w:shd w:fill="EAF2F8"/>
          </w:tcPr>
          <w:p>
            <w:hyperlink r:id="rId17">
              <w:r>
                <w:rPr>
                  <w:color w:val="1568A6"/>
                  <w:u w:val="single"/>
                </w:rPr>
                <w:t>Platform</w:t>
              </w:r>
            </w:hyperlink>
          </w:p>
        </w:tc>
      </w:tr>
      <w:tr>
        <w:tc>
          <w:tcPr>
            <w:tcW w:type="dxa" w:w="2541"/>
            <w:vAlign w:val="center"/>
          </w:tcPr>
          <w:p>
            <w:r>
              <w:rPr>
                <w:sz w:val="14"/>
              </w:rPr>
              <w:t>Noma claims discovery and access/runtime governance for agents, MCP, tools, and 80+ integrations</w:t>
            </w:r>
          </w:p>
        </w:tc>
        <w:tc>
          <w:tcPr>
            <w:tcW w:type="dxa" w:w="2541"/>
            <w:vAlign w:val="center"/>
          </w:tcPr>
          <w:p>
            <w:r>
              <w:rPr>
                <w:sz w:val="14"/>
              </w:rPr>
              <w:t>Official product description; vendor-claimed integration count</w:t>
            </w:r>
          </w:p>
        </w:tc>
        <w:tc>
          <w:tcPr>
            <w:tcW w:type="dxa" w:w="2541"/>
            <w:vAlign w:val="center"/>
          </w:tcPr>
          <w:p>
            <w:r>
              <w:rPr>
                <w:sz w:val="14"/>
              </w:rPr>
              <w:t>Noma Security</w:t>
            </w:r>
          </w:p>
        </w:tc>
        <w:tc>
          <w:tcPr>
            <w:tcW w:type="dxa" w:w="2541"/>
            <w:vAlign w:val="center"/>
          </w:tcPr>
          <w:p>
            <w:hyperlink r:id="rId18">
              <w:r>
                <w:rPr>
                  <w:color w:val="1568A6"/>
                  <w:u w:val="single"/>
                </w:rPr>
                <w:t>Platform</w:t>
              </w:r>
            </w:hyperlink>
          </w:p>
        </w:tc>
      </w:tr>
      <w:tr>
        <w:tc>
          <w:tcPr>
            <w:tcW w:type="dxa" w:w="2541"/>
            <w:vAlign w:val="center"/>
            <w:shd w:fill="EAF2F8"/>
          </w:tcPr>
          <w:p>
            <w:r>
              <w:rPr>
                <w:sz w:val="14"/>
              </w:rPr>
              <w:t>Check Point AI Security inspects tool descriptions/responses/calls, leakage, and off-task behavior</w:t>
            </w:r>
          </w:p>
        </w:tc>
        <w:tc>
          <w:tcPr>
            <w:tcW w:type="dxa" w:w="2541"/>
            <w:vAlign w:val="center"/>
            <w:shd w:fill="EAF2F8"/>
          </w:tcPr>
          <w:p>
            <w:r>
              <w:rPr>
                <w:sz w:val="14"/>
              </w:rPr>
              <w:t>Official technical documentation</w:t>
            </w:r>
          </w:p>
        </w:tc>
        <w:tc>
          <w:tcPr>
            <w:tcW w:type="dxa" w:w="2541"/>
            <w:vAlign w:val="center"/>
            <w:shd w:fill="EAF2F8"/>
          </w:tcPr>
          <w:p>
            <w:r>
              <w:rPr>
                <w:sz w:val="14"/>
              </w:rPr>
              <w:t>Check Point AI Security (Lakera)</w:t>
            </w:r>
          </w:p>
        </w:tc>
        <w:tc>
          <w:tcPr>
            <w:tcW w:type="dxa" w:w="2541"/>
            <w:vAlign w:val="center"/>
            <w:shd w:fill="EAF2F8"/>
          </w:tcPr>
          <w:p>
            <w:hyperlink r:id="rId19">
              <w:r>
                <w:rPr>
                  <w:color w:val="1568A6"/>
                  <w:u w:val="single"/>
                </w:rPr>
                <w:t>API</w:t>
              </w:r>
            </w:hyperlink>
            <w:r>
              <w:rPr>
                <w:sz w:val="14"/>
              </w:rPr>
              <w:t xml:space="preserve">, </w:t>
            </w:r>
            <w:hyperlink r:id="rId20">
              <w:r>
                <w:rPr>
                  <w:color w:val="1568A6"/>
                  <w:u w:val="single"/>
                </w:rPr>
                <w:t>behavior defense</w:t>
              </w:r>
            </w:hyperlink>
          </w:p>
        </w:tc>
      </w:tr>
      <w:tr>
        <w:tc>
          <w:tcPr>
            <w:tcW w:type="dxa" w:w="2541"/>
            <w:vAlign w:val="center"/>
          </w:tcPr>
          <w:p>
            <w:r>
              <w:rPr>
                <w:sz w:val="14"/>
              </w:rPr>
              <w:t>HiddenLayer correlates multi-turn, tool-calling, multi-provider agent sessions</w:t>
            </w:r>
          </w:p>
        </w:tc>
        <w:tc>
          <w:tcPr>
            <w:tcW w:type="dxa" w:w="2541"/>
            <w:vAlign w:val="center"/>
          </w:tcPr>
          <w:p>
            <w:r>
              <w:rPr>
                <w:sz w:val="14"/>
              </w:rPr>
              <w:t>Official technical documentation</w:t>
            </w:r>
          </w:p>
        </w:tc>
        <w:tc>
          <w:tcPr>
            <w:tcW w:type="dxa" w:w="2541"/>
            <w:vAlign w:val="center"/>
          </w:tcPr>
          <w:p>
            <w:r>
              <w:rPr>
                <w:sz w:val="14"/>
              </w:rPr>
              <w:t>HiddenLayer</w:t>
            </w:r>
          </w:p>
        </w:tc>
        <w:tc>
          <w:tcPr>
            <w:tcW w:type="dxa" w:w="2541"/>
            <w:vAlign w:val="center"/>
          </w:tcPr>
          <w:p>
            <w:hyperlink r:id="rId21">
              <w:r>
                <w:rPr>
                  <w:color w:val="1568A6"/>
                  <w:u w:val="single"/>
                </w:rPr>
                <w:t>Runtime overview</w:t>
              </w:r>
            </w:hyperlink>
          </w:p>
        </w:tc>
      </w:tr>
      <w:tr>
        <w:tc>
          <w:tcPr>
            <w:tcW w:type="dxa" w:w="2541"/>
            <w:vAlign w:val="center"/>
            <w:shd w:fill="EAF2F8"/>
          </w:tcPr>
          <w:p>
            <w:r>
              <w:rPr>
                <w:sz w:val="14"/>
              </w:rPr>
              <w:t>Thales combines controlled data access and runtime security across cloud/on-premises</w:t>
            </w:r>
          </w:p>
        </w:tc>
        <w:tc>
          <w:tcPr>
            <w:tcW w:type="dxa" w:w="2541"/>
            <w:vAlign w:val="center"/>
            <w:shd w:fill="EAF2F8"/>
          </w:tcPr>
          <w:p>
            <w:r>
              <w:rPr>
                <w:sz w:val="14"/>
              </w:rPr>
              <w:t>Official product announcement</w:t>
            </w:r>
          </w:p>
        </w:tc>
        <w:tc>
          <w:tcPr>
            <w:tcW w:type="dxa" w:w="2541"/>
            <w:vAlign w:val="center"/>
            <w:shd w:fill="EAF2F8"/>
          </w:tcPr>
          <w:p>
            <w:r>
              <w:rPr>
                <w:sz w:val="14"/>
              </w:rPr>
              <w:t>Thales</w:t>
            </w:r>
          </w:p>
        </w:tc>
        <w:tc>
          <w:tcPr>
            <w:tcW w:type="dxa" w:w="2541"/>
            <w:vAlign w:val="center"/>
            <w:shd w:fill="EAF2F8"/>
          </w:tcPr>
          <w:p>
            <w:hyperlink r:id="rId22">
              <w:r>
                <w:rPr>
                  <w:color w:val="1568A6"/>
                  <w:u w:val="single"/>
                </w:rPr>
                <w:t>Announcement</w:t>
              </w:r>
            </w:hyperlink>
          </w:p>
        </w:tc>
      </w:tr>
      <w:tr>
        <w:tc>
          <w:tcPr>
            <w:tcW w:type="dxa" w:w="2541"/>
            <w:vAlign w:val="center"/>
          </w:tcPr>
          <w:p>
            <w:r>
              <w:rPr>
                <w:sz w:val="14"/>
              </w:rPr>
              <w:t>Securiti offers data-security and access-control capabilities for agents/copilots</w:t>
            </w:r>
          </w:p>
        </w:tc>
        <w:tc>
          <w:tcPr>
            <w:tcW w:type="dxa" w:w="2541"/>
            <w:vAlign w:val="center"/>
          </w:tcPr>
          <w:p>
            <w:r>
              <w:rPr>
                <w:sz w:val="14"/>
              </w:rPr>
              <w:t>Official product description</w:t>
            </w:r>
          </w:p>
        </w:tc>
        <w:tc>
          <w:tcPr>
            <w:tcW w:type="dxa" w:w="2541"/>
            <w:vAlign w:val="center"/>
          </w:tcPr>
          <w:p>
            <w:r>
              <w:rPr>
                <w:sz w:val="14"/>
              </w:rPr>
              <w:t>Securiti</w:t>
            </w:r>
          </w:p>
        </w:tc>
        <w:tc>
          <w:tcPr>
            <w:tcW w:type="dxa" w:w="2541"/>
            <w:vAlign w:val="center"/>
          </w:tcPr>
          <w:p>
            <w:hyperlink r:id="rId23">
              <w:r>
                <w:rPr>
                  <w:color w:val="1568A6"/>
                  <w:u w:val="single"/>
                </w:rPr>
                <w:t>Product page</w:t>
              </w:r>
            </w:hyperlink>
          </w:p>
        </w:tc>
      </w:tr>
      <w:tr>
        <w:tc>
          <w:tcPr>
            <w:tcW w:type="dxa" w:w="2541"/>
            <w:vAlign w:val="center"/>
            <w:shd w:fill="EAF2F8"/>
          </w:tcPr>
          <w:p>
            <w:r>
              <w:rPr>
                <w:sz w:val="14"/>
              </w:rPr>
              <w:t>Prisma AIRS covers network/API interception, agent protection, model security, and red teaming</w:t>
            </w:r>
          </w:p>
        </w:tc>
        <w:tc>
          <w:tcPr>
            <w:tcW w:type="dxa" w:w="2541"/>
            <w:vAlign w:val="center"/>
            <w:shd w:fill="EAF2F8"/>
          </w:tcPr>
          <w:p>
            <w:r>
              <w:rPr>
                <w:sz w:val="14"/>
              </w:rPr>
              <w:t>Official technical documentation</w:t>
            </w:r>
          </w:p>
        </w:tc>
        <w:tc>
          <w:tcPr>
            <w:tcW w:type="dxa" w:w="2541"/>
            <w:vAlign w:val="center"/>
            <w:shd w:fill="EAF2F8"/>
          </w:tcPr>
          <w:p>
            <w:r>
              <w:rPr>
                <w:sz w:val="14"/>
              </w:rPr>
              <w:t>Palo Alto Networks</w:t>
            </w:r>
          </w:p>
        </w:tc>
        <w:tc>
          <w:tcPr>
            <w:tcW w:type="dxa" w:w="2541"/>
            <w:vAlign w:val="center"/>
            <w:shd w:fill="EAF2F8"/>
          </w:tcPr>
          <w:p>
            <w:hyperlink r:id="rId42">
              <w:r>
                <w:rPr>
                  <w:color w:val="1568A6"/>
                  <w:u w:val="single"/>
                </w:rPr>
                <w:t>Overview</w:t>
              </w:r>
            </w:hyperlink>
            <w:r>
              <w:rPr>
                <w:sz w:val="14"/>
              </w:rPr>
              <w:t xml:space="preserve">, </w:t>
            </w:r>
            <w:hyperlink r:id="rId41">
              <w:r>
                <w:rPr>
                  <w:color w:val="1568A6"/>
                  <w:u w:val="single"/>
                </w:rPr>
                <w:t>low/no-code agents</w:t>
              </w:r>
            </w:hyperlink>
          </w:p>
        </w:tc>
      </w:tr>
    </w:tbl>
    <w:p>
      <w:pPr>
        <w:spacing w:before="240"/>
        <w:jc w:val="center"/>
      </w:pPr>
      <w:hyperlink r:id="rId43">
        <w:r>
          <w:rPr>
            <w:color w:val="146658"/>
            <w:u w:val="single"/>
          </w:rPr>
          <w:t>Explore more questions at Ask Anything</w:t>
        </w:r>
      </w:hyperlink>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6606E"/>
        <w:sz w:val="16"/>
      </w:rPr>
      <w:t>ENTERPRISE AI-AGENT SECURITY  |  TECHNICAL MARKET MAP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E2038"/>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568A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081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E2038"/>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ptos" w:hAnsi="Aptos"/>
      <w:b/>
      <w:bCs/>
      <w:color w:val="56606E"/>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earn.microsoft.com/en-us/microsoft-agent-365/overview" TargetMode="External"/><Relationship Id="rId12" Type="http://schemas.openxmlformats.org/officeDocument/2006/relationships/hyperlink" Target="https://learn.microsoft.com/en-us/defender-endpoint/ai-agent-runtime-protection-overview" TargetMode="External"/><Relationship Id="rId13" Type="http://schemas.openxmlformats.org/officeDocument/2006/relationships/hyperlink" Target="https://www.cisco.com/c/en/us/products/collateral/security/ai-defense/ai-defense-ds.html" TargetMode="External"/><Relationship Id="rId14" Type="http://schemas.openxmlformats.org/officeDocument/2006/relationships/hyperlink" Target="https://blogs.cisco.com/news/cisco-announces-intent-to-acquire-astrix-security" TargetMode="External"/><Relationship Id="rId15" Type="http://schemas.openxmlformats.org/officeDocument/2006/relationships/hyperlink" Target="https://www.netskope.com/solutions/netskope-one-ai-security" TargetMode="External"/><Relationship Id="rId16" Type="http://schemas.openxmlformats.org/officeDocument/2006/relationships/hyperlink" Target="https://help.zscaler.com/secure-ai-users/what-ai-guard" TargetMode="External"/><Relationship Id="rId17" Type="http://schemas.openxmlformats.org/officeDocument/2006/relationships/hyperlink" Target="https://zenity.io/" TargetMode="External"/><Relationship Id="rId18" Type="http://schemas.openxmlformats.org/officeDocument/2006/relationships/hyperlink" Target="https://noma.security/platform/agentic-access-control/" TargetMode="External"/><Relationship Id="rId19" Type="http://schemas.openxmlformats.org/officeDocument/2006/relationships/hyperlink" Target="https://docs.lakera.ai/docs/api" TargetMode="External"/><Relationship Id="rId20" Type="http://schemas.openxmlformats.org/officeDocument/2006/relationships/hyperlink" Target="https://docs.lakera.ai/docs/agent-behavior-defense" TargetMode="External"/><Relationship Id="rId21" Type="http://schemas.openxmlformats.org/officeDocument/2006/relationships/hyperlink" Target="https://docs.hiddenlayer.ai/docs/products/runtime/overview" TargetMode="External"/><Relationship Id="rId22" Type="http://schemas.openxmlformats.org/officeDocument/2006/relationships/hyperlink" Target="https://cpl.thalesgroup.com/about-us/newsroom/thales-launches-ai-security-fabric" TargetMode="External"/><Relationship Id="rId23" Type="http://schemas.openxmlformats.org/officeDocument/2006/relationships/hyperlink" Target="https://securiti.ai/products/security-for-ai-agents-and-copilots" TargetMode="External"/><Relationship Id="rId24" Type="http://schemas.openxmlformats.org/officeDocument/2006/relationships/hyperlink" Target="https://openai.com/index/designing-agents-to-resist-prompt-injection/" TargetMode="External"/><Relationship Id="rId25" Type="http://schemas.openxmlformats.org/officeDocument/2006/relationships/hyperlink" Target="https://arxiv.org/abs/2504.18575" TargetMode="External"/><Relationship Id="rId26" Type="http://schemas.openxmlformats.org/officeDocument/2006/relationships/hyperlink" Target="https://arxiv.org/abs/2506.01055" TargetMode="External"/><Relationship Id="rId27" Type="http://schemas.openxmlformats.org/officeDocument/2006/relationships/hyperlink" Target="https://www.anthropic.com/research/agentic-misalignment" TargetMode="External"/><Relationship Id="rId28" Type="http://schemas.openxmlformats.org/officeDocument/2006/relationships/hyperlink" Target="https://nvlpubs.nist.gov/nistpubs/ai/NIST.AI.100-2e2025.pdf" TargetMode="External"/><Relationship Id="rId29" Type="http://schemas.openxmlformats.org/officeDocument/2006/relationships/hyperlink" Target="https://genai.owasp.org/download/52117/?tmstv=1765059207" TargetMode="External"/><Relationship Id="rId30" Type="http://schemas.openxmlformats.org/officeDocument/2006/relationships/hyperlink" Target="https://learn.microsoft.com/en-us/security/security-for-ai/agent-365-security" TargetMode="External"/><Relationship Id="rId31" Type="http://schemas.openxmlformats.org/officeDocument/2006/relationships/hyperlink" Target="https://learn.microsoft.com/en-us/defender-xdr/security-for-ai/transition-agent-security-to-agent-365" TargetMode="External"/><Relationship Id="rId32" Type="http://schemas.openxmlformats.org/officeDocument/2006/relationships/image" Target="media/image1.png"/><Relationship Id="rId33" Type="http://schemas.openxmlformats.org/officeDocument/2006/relationships/image" Target="media/image2.png"/><Relationship Id="rId34" Type="http://schemas.openxmlformats.org/officeDocument/2006/relationships/image" Target="media/image3.png"/><Relationship Id="rId35" Type="http://schemas.openxmlformats.org/officeDocument/2006/relationships/hyperlink" Target="https://developer.cisco.com/docs/ai-defense-management/introduction/" TargetMode="External"/><Relationship Id="rId36" Type="http://schemas.openxmlformats.org/officeDocument/2006/relationships/hyperlink" Target="https://astrix.security/" TargetMode="External"/><Relationship Id="rId37" Type="http://schemas.openxmlformats.org/officeDocument/2006/relationships/hyperlink" Target="https://docs.netskope.com/en/ai-guardrails/" TargetMode="External"/><Relationship Id="rId38" Type="http://schemas.openxmlformats.org/officeDocument/2006/relationships/hyperlink" Target="https://docs.lakera.ai/docs/api/guard" TargetMode="External"/><Relationship Id="rId39" Type="http://schemas.openxmlformats.org/officeDocument/2006/relationships/hyperlink" Target="https://docs.lakera.ai/docs/defenses" TargetMode="External"/><Relationship Id="rId40" Type="http://schemas.openxmlformats.org/officeDocument/2006/relationships/hyperlink" Target="https://docs.hiddenlayer.ai/" TargetMode="External"/><Relationship Id="rId41" Type="http://schemas.openxmlformats.org/officeDocument/2006/relationships/hyperlink" Target="https://docs.paloaltonetworks.com/content/techdocs/en_US/ai-runtime-security/administration/api-intercept-create-configure-security-profile/ai-agent-security-low-no-code" TargetMode="External"/><Relationship Id="rId42" Type="http://schemas.openxmlformats.org/officeDocument/2006/relationships/hyperlink" Target="https://docs.paloaltonetworks.com/ai-runtime-security/administration/prisma-airs-overview" TargetMode="External"/><Relationship Id="rId43"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AI-agent security beyond Cyberhaven, Nightfall, and Forcepoint</dc:title>
  <dc:subject>Technical market map and evaluation guide</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